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21" w:rsidRPr="008842EF" w:rsidRDefault="00A23119">
      <w:pPr>
        <w:rPr>
          <w:rFonts w:ascii="Arial" w:hAnsi="Arial" w:cs="Arial"/>
          <w:color w:val="4F81BD" w:themeColor="accent1"/>
          <w:sz w:val="20"/>
          <w:szCs w:val="20"/>
        </w:rPr>
      </w:pPr>
      <w:bookmarkStart w:id="0" w:name="_GoBack"/>
      <w:bookmarkEnd w:id="0"/>
      <w:r>
        <w:rPr>
          <w:rFonts w:ascii="Arial" w:hAnsi="Arial" w:cs="Arial"/>
          <w:b/>
          <w:sz w:val="28"/>
          <w:szCs w:val="28"/>
        </w:rPr>
        <w:t>A</w:t>
      </w:r>
      <w:r w:rsidR="00F26D21">
        <w:rPr>
          <w:rFonts w:ascii="Arial" w:hAnsi="Arial" w:cs="Arial"/>
          <w:b/>
          <w:sz w:val="28"/>
          <w:szCs w:val="28"/>
        </w:rPr>
        <w:t>dministrationsgrundlag for kommunalt udbud af nedrivningsentrepriser</w:t>
      </w:r>
      <w:r w:rsidR="004D39F4">
        <w:rPr>
          <w:rFonts w:ascii="Arial" w:hAnsi="Arial" w:cs="Arial"/>
          <w:b/>
          <w:sz w:val="28"/>
          <w:szCs w:val="28"/>
        </w:rPr>
        <w:t xml:space="preserve"> i landdistrikter</w:t>
      </w:r>
      <w:r w:rsidR="006129BB">
        <w:rPr>
          <w:rFonts w:ascii="Arial" w:hAnsi="Arial" w:cs="Arial"/>
          <w:b/>
          <w:sz w:val="28"/>
          <w:szCs w:val="28"/>
        </w:rPr>
        <w:t xml:space="preserve"> under puljeordninger</w:t>
      </w:r>
    </w:p>
    <w:p w:rsidR="00F26D21" w:rsidRDefault="00F26D21">
      <w:pPr>
        <w:rPr>
          <w:rFonts w:ascii="Arial" w:hAnsi="Arial" w:cs="Arial"/>
          <w:b/>
          <w:sz w:val="20"/>
          <w:szCs w:val="20"/>
        </w:rPr>
      </w:pPr>
      <w:r>
        <w:rPr>
          <w:rFonts w:ascii="Arial" w:hAnsi="Arial" w:cs="Arial"/>
          <w:b/>
          <w:sz w:val="20"/>
          <w:szCs w:val="20"/>
        </w:rPr>
        <w:t>Formålet med administrationsgrundlaget</w:t>
      </w:r>
    </w:p>
    <w:p w:rsidR="00F26D21" w:rsidRDefault="00F26D21">
      <w:pPr>
        <w:rPr>
          <w:rFonts w:ascii="Arial" w:hAnsi="Arial" w:cs="Arial"/>
          <w:sz w:val="20"/>
          <w:szCs w:val="20"/>
        </w:rPr>
      </w:pPr>
      <w:r>
        <w:rPr>
          <w:rFonts w:ascii="Arial" w:hAnsi="Arial" w:cs="Arial"/>
          <w:sz w:val="20"/>
          <w:szCs w:val="20"/>
        </w:rPr>
        <w:t>Vordingborg Kommune vil med dette administrationsgrundlag sætte rammerne for et fortsat godt samarbejde med entreprenører og håndværkere</w:t>
      </w:r>
      <w:r w:rsidR="00F22E84">
        <w:rPr>
          <w:rFonts w:ascii="Arial" w:hAnsi="Arial" w:cs="Arial"/>
          <w:sz w:val="20"/>
          <w:szCs w:val="20"/>
        </w:rPr>
        <w:t xml:space="preserve"> i forbindelse med kommunalt udbud af nedrivningsentrepriser.</w:t>
      </w:r>
    </w:p>
    <w:p w:rsidR="00F22E84" w:rsidRDefault="00F22E84">
      <w:pPr>
        <w:rPr>
          <w:rFonts w:ascii="Arial" w:hAnsi="Arial" w:cs="Arial"/>
          <w:b/>
          <w:sz w:val="20"/>
          <w:szCs w:val="20"/>
        </w:rPr>
      </w:pPr>
      <w:r>
        <w:rPr>
          <w:rFonts w:ascii="Arial" w:hAnsi="Arial" w:cs="Arial"/>
          <w:b/>
          <w:sz w:val="20"/>
          <w:szCs w:val="20"/>
        </w:rPr>
        <w:t>Tilbudsloven</w:t>
      </w:r>
    </w:p>
    <w:p w:rsidR="00F22E84" w:rsidRDefault="00F22E84">
      <w:pPr>
        <w:rPr>
          <w:rFonts w:ascii="Arial" w:hAnsi="Arial" w:cs="Arial"/>
          <w:sz w:val="20"/>
          <w:szCs w:val="20"/>
        </w:rPr>
      </w:pPr>
      <w:r>
        <w:rPr>
          <w:rFonts w:ascii="Arial" w:hAnsi="Arial" w:cs="Arial"/>
          <w:sz w:val="20"/>
          <w:szCs w:val="20"/>
        </w:rPr>
        <w:t>I lov om indhentning af tilbud i bygge- og anlægssektoren, også kaldet tilbudsloven, står der i formålsformuleringen, at ”udbyderen skal udnytte de muligheder, der findes for at skabe tilstrækkelig konkurrence”. I loven, den tilhørende bekendtgørelse og vejledning hertil, er forholdene omkring udbud, udbudsform, underhåndsbud, licitation, tildeling m.v. reguleret ret detaljeret</w:t>
      </w:r>
    </w:p>
    <w:p w:rsidR="00F22E84" w:rsidRDefault="00F22E84">
      <w:pPr>
        <w:rPr>
          <w:rFonts w:ascii="Arial" w:hAnsi="Arial" w:cs="Arial"/>
          <w:sz w:val="20"/>
          <w:szCs w:val="20"/>
        </w:rPr>
      </w:pPr>
      <w:r>
        <w:rPr>
          <w:rFonts w:ascii="Arial" w:hAnsi="Arial" w:cs="Arial"/>
          <w:sz w:val="20"/>
          <w:szCs w:val="20"/>
        </w:rPr>
        <w:t>Administrationsgrundlaget gælder kun for nedrivningsopgaver i landdistrikterne.</w:t>
      </w:r>
    </w:p>
    <w:p w:rsidR="00F22E84" w:rsidRDefault="00F22E84">
      <w:pPr>
        <w:rPr>
          <w:rFonts w:ascii="Arial" w:hAnsi="Arial" w:cs="Arial"/>
          <w:b/>
          <w:sz w:val="20"/>
          <w:szCs w:val="20"/>
        </w:rPr>
      </w:pPr>
      <w:r>
        <w:rPr>
          <w:rFonts w:ascii="Arial" w:hAnsi="Arial" w:cs="Arial"/>
          <w:b/>
          <w:sz w:val="20"/>
          <w:szCs w:val="20"/>
        </w:rPr>
        <w:t>Tærskelværdier</w:t>
      </w:r>
    </w:p>
    <w:p w:rsidR="00F22E84" w:rsidRDefault="00F22E84">
      <w:pPr>
        <w:rPr>
          <w:rFonts w:ascii="Arial" w:hAnsi="Arial" w:cs="Arial"/>
          <w:sz w:val="20"/>
          <w:szCs w:val="20"/>
        </w:rPr>
      </w:pPr>
      <w:r>
        <w:rPr>
          <w:rFonts w:ascii="Arial" w:hAnsi="Arial" w:cs="Arial"/>
          <w:sz w:val="20"/>
          <w:szCs w:val="20"/>
        </w:rPr>
        <w:t>Administrationsgrundlaget vedrører arbejder som i værdi har en størrelse, som ligger under tærskelværdierne for EU-udbud.</w:t>
      </w:r>
    </w:p>
    <w:p w:rsidR="00F22E84" w:rsidRDefault="00F22E84">
      <w:pPr>
        <w:rPr>
          <w:rFonts w:ascii="Arial" w:hAnsi="Arial" w:cs="Arial"/>
          <w:b/>
          <w:sz w:val="20"/>
          <w:szCs w:val="20"/>
        </w:rPr>
      </w:pPr>
      <w:r>
        <w:rPr>
          <w:rFonts w:ascii="Arial" w:hAnsi="Arial" w:cs="Arial"/>
          <w:b/>
          <w:sz w:val="20"/>
          <w:szCs w:val="20"/>
        </w:rPr>
        <w:t>Konkurrencen skal sikres</w:t>
      </w:r>
    </w:p>
    <w:p w:rsidR="00F22E84" w:rsidRDefault="00F22E84">
      <w:pPr>
        <w:rPr>
          <w:rFonts w:ascii="Arial" w:hAnsi="Arial" w:cs="Arial"/>
          <w:sz w:val="20"/>
          <w:szCs w:val="20"/>
        </w:rPr>
      </w:pPr>
      <w:r>
        <w:rPr>
          <w:rFonts w:ascii="Arial" w:hAnsi="Arial" w:cs="Arial"/>
          <w:sz w:val="20"/>
          <w:szCs w:val="20"/>
        </w:rPr>
        <w:t>Administrationsgrundlaget forholder sig derfor til, hvornår og under hvilke vilkår</w:t>
      </w:r>
    </w:p>
    <w:p w:rsidR="00616B76" w:rsidRDefault="00616B76" w:rsidP="00616B76">
      <w:pPr>
        <w:pStyle w:val="Listeafsnit"/>
        <w:numPr>
          <w:ilvl w:val="0"/>
          <w:numId w:val="1"/>
        </w:numPr>
        <w:rPr>
          <w:rFonts w:ascii="Arial" w:hAnsi="Arial" w:cs="Arial"/>
          <w:sz w:val="20"/>
          <w:szCs w:val="20"/>
        </w:rPr>
      </w:pPr>
      <w:r>
        <w:rPr>
          <w:rFonts w:ascii="Arial" w:hAnsi="Arial" w:cs="Arial"/>
          <w:sz w:val="20"/>
          <w:szCs w:val="20"/>
        </w:rPr>
        <w:t>regningsarbejde kan accepteres</w:t>
      </w:r>
    </w:p>
    <w:p w:rsidR="00616B76" w:rsidRDefault="00616B76" w:rsidP="00616B76">
      <w:pPr>
        <w:pStyle w:val="Listeafsnit"/>
        <w:numPr>
          <w:ilvl w:val="0"/>
          <w:numId w:val="1"/>
        </w:numPr>
        <w:rPr>
          <w:rFonts w:ascii="Arial" w:hAnsi="Arial" w:cs="Arial"/>
          <w:sz w:val="20"/>
          <w:szCs w:val="20"/>
        </w:rPr>
      </w:pPr>
      <w:r>
        <w:rPr>
          <w:rFonts w:ascii="Arial" w:hAnsi="Arial" w:cs="Arial"/>
          <w:sz w:val="20"/>
          <w:szCs w:val="20"/>
        </w:rPr>
        <w:t>tilbud kan indhentes ved underhåndsbud</w:t>
      </w:r>
    </w:p>
    <w:p w:rsidR="00616B76" w:rsidRDefault="00616B76" w:rsidP="00616B76">
      <w:pPr>
        <w:pStyle w:val="Listeafsnit"/>
        <w:numPr>
          <w:ilvl w:val="0"/>
          <w:numId w:val="1"/>
        </w:numPr>
        <w:rPr>
          <w:rFonts w:ascii="Arial" w:hAnsi="Arial" w:cs="Arial"/>
          <w:sz w:val="20"/>
          <w:szCs w:val="20"/>
        </w:rPr>
      </w:pPr>
      <w:r>
        <w:rPr>
          <w:rFonts w:ascii="Arial" w:hAnsi="Arial" w:cs="Arial"/>
          <w:sz w:val="20"/>
          <w:szCs w:val="20"/>
        </w:rPr>
        <w:t>tilbud kan indhentes ved licitation</w:t>
      </w:r>
    </w:p>
    <w:p w:rsidR="00337B1F" w:rsidRDefault="00337B1F" w:rsidP="00337B1F">
      <w:pPr>
        <w:rPr>
          <w:rFonts w:ascii="Arial" w:hAnsi="Arial" w:cs="Arial"/>
          <w:b/>
          <w:sz w:val="20"/>
          <w:szCs w:val="20"/>
        </w:rPr>
      </w:pPr>
      <w:r>
        <w:rPr>
          <w:rFonts w:ascii="Arial" w:hAnsi="Arial" w:cs="Arial"/>
          <w:b/>
          <w:sz w:val="20"/>
          <w:szCs w:val="20"/>
        </w:rPr>
        <w:t>Regningsarbejde</w:t>
      </w:r>
    </w:p>
    <w:p w:rsidR="00337B1F" w:rsidRDefault="00337B1F" w:rsidP="00337B1F">
      <w:pPr>
        <w:rPr>
          <w:rFonts w:ascii="Arial" w:hAnsi="Arial" w:cs="Arial"/>
          <w:sz w:val="20"/>
          <w:szCs w:val="20"/>
        </w:rPr>
      </w:pPr>
      <w:r>
        <w:rPr>
          <w:rFonts w:ascii="Arial" w:hAnsi="Arial" w:cs="Arial"/>
          <w:sz w:val="20"/>
          <w:szCs w:val="20"/>
        </w:rPr>
        <w:t>Arbejde efter regning kan anvendes i følgende situationer:</w:t>
      </w:r>
    </w:p>
    <w:p w:rsidR="00337B1F" w:rsidRDefault="00901CB2" w:rsidP="00337B1F">
      <w:pPr>
        <w:pStyle w:val="Listeafsnit"/>
        <w:numPr>
          <w:ilvl w:val="0"/>
          <w:numId w:val="2"/>
        </w:numPr>
        <w:rPr>
          <w:rFonts w:ascii="Arial" w:hAnsi="Arial" w:cs="Arial"/>
          <w:sz w:val="20"/>
          <w:szCs w:val="20"/>
        </w:rPr>
      </w:pPr>
      <w:r>
        <w:rPr>
          <w:rFonts w:ascii="Arial" w:hAnsi="Arial" w:cs="Arial"/>
          <w:sz w:val="20"/>
          <w:szCs w:val="20"/>
        </w:rPr>
        <w:t>Entre</w:t>
      </w:r>
      <w:r w:rsidR="00337B1F">
        <w:rPr>
          <w:rFonts w:ascii="Arial" w:hAnsi="Arial" w:cs="Arial"/>
          <w:sz w:val="20"/>
          <w:szCs w:val="20"/>
        </w:rPr>
        <w:t>priser under 100.000 kr. excl. moms</w:t>
      </w:r>
    </w:p>
    <w:p w:rsidR="00337B1F" w:rsidRDefault="00337B1F" w:rsidP="00337B1F">
      <w:pPr>
        <w:pStyle w:val="Listeafsnit"/>
        <w:numPr>
          <w:ilvl w:val="0"/>
          <w:numId w:val="2"/>
        </w:numPr>
        <w:rPr>
          <w:rFonts w:ascii="Arial" w:hAnsi="Arial" w:cs="Arial"/>
          <w:sz w:val="20"/>
          <w:szCs w:val="20"/>
        </w:rPr>
      </w:pPr>
      <w:r>
        <w:rPr>
          <w:rFonts w:ascii="Arial" w:hAnsi="Arial" w:cs="Arial"/>
          <w:sz w:val="20"/>
          <w:szCs w:val="20"/>
        </w:rPr>
        <w:t>Akut opstået arbejde, som skal løses her og nu</w:t>
      </w:r>
    </w:p>
    <w:p w:rsidR="00337B1F" w:rsidRDefault="00337B1F" w:rsidP="00337B1F">
      <w:pPr>
        <w:pStyle w:val="Listeafsnit"/>
        <w:numPr>
          <w:ilvl w:val="0"/>
          <w:numId w:val="2"/>
        </w:numPr>
        <w:rPr>
          <w:rFonts w:ascii="Arial" w:hAnsi="Arial" w:cs="Arial"/>
          <w:sz w:val="20"/>
          <w:szCs w:val="20"/>
        </w:rPr>
      </w:pPr>
      <w:r>
        <w:rPr>
          <w:rFonts w:ascii="Arial" w:hAnsi="Arial" w:cs="Arial"/>
          <w:sz w:val="20"/>
          <w:szCs w:val="20"/>
        </w:rPr>
        <w:t>Arbejder som er svært beskrivelige og som de bydende ikke reelt kan konkurrere på</w:t>
      </w:r>
    </w:p>
    <w:p w:rsidR="00337B1F" w:rsidRDefault="00337B1F" w:rsidP="00337B1F">
      <w:pPr>
        <w:rPr>
          <w:rFonts w:ascii="Arial" w:hAnsi="Arial" w:cs="Arial"/>
          <w:sz w:val="20"/>
          <w:szCs w:val="20"/>
        </w:rPr>
      </w:pPr>
      <w:r>
        <w:rPr>
          <w:rFonts w:ascii="Arial" w:hAnsi="Arial" w:cs="Arial"/>
          <w:sz w:val="20"/>
          <w:szCs w:val="20"/>
        </w:rPr>
        <w:t>Inden der vælges entreprenør til regningsarbejder, kan udbyder typisk indbyde to entreprenører til en gennemgang af arbejdet med det formål at undersøge løsningsforslag, prisoverslag</w:t>
      </w:r>
      <w:r w:rsidR="0093469C">
        <w:rPr>
          <w:rFonts w:ascii="Arial" w:hAnsi="Arial" w:cs="Arial"/>
          <w:sz w:val="20"/>
          <w:szCs w:val="20"/>
        </w:rPr>
        <w:t>, ev</w:t>
      </w:r>
      <w:r w:rsidR="00F148F8">
        <w:rPr>
          <w:rFonts w:ascii="Arial" w:hAnsi="Arial" w:cs="Arial"/>
          <w:sz w:val="20"/>
          <w:szCs w:val="20"/>
        </w:rPr>
        <w:t>t. fastsættelse af prisloft m.v. Denne type arbejder vil typisk blive varetaget af lokale entreprenører.</w:t>
      </w:r>
    </w:p>
    <w:p w:rsidR="00F148F8" w:rsidRDefault="00F148F8" w:rsidP="00337B1F">
      <w:pPr>
        <w:rPr>
          <w:rFonts w:ascii="Arial" w:hAnsi="Arial" w:cs="Arial"/>
          <w:b/>
          <w:sz w:val="20"/>
          <w:szCs w:val="20"/>
        </w:rPr>
      </w:pPr>
      <w:r>
        <w:rPr>
          <w:rFonts w:ascii="Arial" w:hAnsi="Arial" w:cs="Arial"/>
          <w:b/>
          <w:sz w:val="20"/>
          <w:szCs w:val="20"/>
        </w:rPr>
        <w:t>Tilbud indhentet ved underhåndsbud</w:t>
      </w:r>
    </w:p>
    <w:p w:rsidR="00F148F8" w:rsidRDefault="00F148F8" w:rsidP="00337B1F">
      <w:pPr>
        <w:rPr>
          <w:rFonts w:ascii="Arial" w:hAnsi="Arial" w:cs="Arial"/>
          <w:sz w:val="20"/>
          <w:szCs w:val="20"/>
        </w:rPr>
      </w:pPr>
      <w:r>
        <w:rPr>
          <w:rFonts w:ascii="Arial" w:hAnsi="Arial" w:cs="Arial"/>
          <w:sz w:val="20"/>
          <w:szCs w:val="20"/>
        </w:rPr>
        <w:t>Efter tilbudslovens §</w:t>
      </w:r>
      <w:r w:rsidR="00901CB2">
        <w:rPr>
          <w:rFonts w:ascii="Arial" w:hAnsi="Arial" w:cs="Arial"/>
          <w:sz w:val="20"/>
          <w:szCs w:val="20"/>
        </w:rPr>
        <w:t xml:space="preserve"> </w:t>
      </w:r>
      <w:r>
        <w:rPr>
          <w:rFonts w:ascii="Arial" w:hAnsi="Arial" w:cs="Arial"/>
          <w:sz w:val="20"/>
          <w:szCs w:val="20"/>
        </w:rPr>
        <w:t>13 kan der indhentes underhåndsbud med en anslået samlet værdi på maximum 3,0 mio. kr.</w:t>
      </w:r>
    </w:p>
    <w:p w:rsidR="00F148F8" w:rsidRDefault="00F148F8" w:rsidP="00337B1F">
      <w:pPr>
        <w:rPr>
          <w:rFonts w:ascii="Arial" w:hAnsi="Arial" w:cs="Arial"/>
          <w:sz w:val="20"/>
          <w:szCs w:val="20"/>
        </w:rPr>
      </w:pPr>
      <w:r>
        <w:rPr>
          <w:rFonts w:ascii="Arial" w:hAnsi="Arial" w:cs="Arial"/>
          <w:sz w:val="20"/>
          <w:szCs w:val="20"/>
        </w:rPr>
        <w:t>Hvis der lokalt kan skabes tilstrækkelig konkurrence blandt egnede entreprenører, indhentes underhåndsbud lokalt. Hvis udbyderen vurderer, at konkurrencen bedst kan sikres ved at udbyde opgaven til en bredere kreds, inviteres bydende udenfor kommunens grænser.</w:t>
      </w:r>
    </w:p>
    <w:p w:rsidR="00F148F8" w:rsidRDefault="00F148F8" w:rsidP="00337B1F">
      <w:pPr>
        <w:rPr>
          <w:rFonts w:ascii="Arial" w:hAnsi="Arial" w:cs="Arial"/>
          <w:sz w:val="20"/>
          <w:szCs w:val="20"/>
        </w:rPr>
      </w:pPr>
      <w:r>
        <w:rPr>
          <w:rFonts w:ascii="Arial" w:hAnsi="Arial" w:cs="Arial"/>
          <w:sz w:val="20"/>
          <w:szCs w:val="20"/>
        </w:rPr>
        <w:t>Arbejder under 3,0 mio. kr. kan også vælges bragt i licitation, hvis udbyderen skønner arbejdet egnet hertil.</w:t>
      </w:r>
    </w:p>
    <w:p w:rsidR="00F148F8" w:rsidRDefault="00F148F8" w:rsidP="00337B1F">
      <w:pPr>
        <w:rPr>
          <w:rFonts w:ascii="Arial" w:hAnsi="Arial" w:cs="Arial"/>
          <w:b/>
          <w:sz w:val="20"/>
          <w:szCs w:val="20"/>
        </w:rPr>
      </w:pPr>
      <w:r>
        <w:rPr>
          <w:rFonts w:ascii="Arial" w:hAnsi="Arial" w:cs="Arial"/>
          <w:b/>
          <w:sz w:val="20"/>
          <w:szCs w:val="20"/>
        </w:rPr>
        <w:t>Tilbud indhentet ved licitation</w:t>
      </w:r>
    </w:p>
    <w:p w:rsidR="00F148F8" w:rsidRPr="00F148F8" w:rsidRDefault="00F148F8" w:rsidP="00337B1F">
      <w:pPr>
        <w:rPr>
          <w:rFonts w:ascii="Arial" w:hAnsi="Arial" w:cs="Arial"/>
          <w:sz w:val="20"/>
          <w:szCs w:val="20"/>
        </w:rPr>
      </w:pPr>
      <w:r>
        <w:rPr>
          <w:rFonts w:ascii="Arial" w:hAnsi="Arial" w:cs="Arial"/>
          <w:sz w:val="20"/>
          <w:szCs w:val="20"/>
        </w:rPr>
        <w:lastRenderedPageBreak/>
        <w:t>Hvis der afholdes begrænset licitation (indbudt l</w:t>
      </w:r>
      <w:r w:rsidR="00901CB2">
        <w:rPr>
          <w:rFonts w:ascii="Arial" w:hAnsi="Arial" w:cs="Arial"/>
          <w:sz w:val="20"/>
          <w:szCs w:val="20"/>
        </w:rPr>
        <w:t>i</w:t>
      </w:r>
      <w:r>
        <w:rPr>
          <w:rFonts w:ascii="Arial" w:hAnsi="Arial" w:cs="Arial"/>
          <w:sz w:val="20"/>
          <w:szCs w:val="20"/>
        </w:rPr>
        <w:t>citation), vil egnede lokale entreprenører</w:t>
      </w:r>
      <w:r w:rsidR="00901CB2">
        <w:rPr>
          <w:rFonts w:ascii="Arial" w:hAnsi="Arial" w:cs="Arial"/>
          <w:sz w:val="20"/>
          <w:szCs w:val="20"/>
        </w:rPr>
        <w:t xml:space="preserve"> blive bragt i konkurrence med entreprenører uden for kommunen.</w:t>
      </w:r>
    </w:p>
    <w:p w:rsidR="00616B76" w:rsidRDefault="00616B76" w:rsidP="00616B76">
      <w:pPr>
        <w:rPr>
          <w:rFonts w:ascii="Arial" w:hAnsi="Arial" w:cs="Arial"/>
          <w:b/>
          <w:sz w:val="20"/>
          <w:szCs w:val="20"/>
        </w:rPr>
      </w:pPr>
      <w:r>
        <w:rPr>
          <w:rFonts w:ascii="Arial" w:hAnsi="Arial" w:cs="Arial"/>
          <w:b/>
          <w:sz w:val="20"/>
          <w:szCs w:val="20"/>
        </w:rPr>
        <w:t>God planlægning – billigere opgaveløsning</w:t>
      </w:r>
    </w:p>
    <w:p w:rsidR="00616B76" w:rsidRDefault="00616B76" w:rsidP="00616B76">
      <w:pPr>
        <w:rPr>
          <w:rFonts w:ascii="Arial" w:hAnsi="Arial" w:cs="Arial"/>
          <w:sz w:val="20"/>
          <w:szCs w:val="20"/>
        </w:rPr>
      </w:pPr>
      <w:r>
        <w:rPr>
          <w:rFonts w:ascii="Arial" w:hAnsi="Arial" w:cs="Arial"/>
          <w:sz w:val="20"/>
          <w:szCs w:val="20"/>
        </w:rPr>
        <w:t>Kommunen tilstræber, at udbudsmaterialet udsendes i god tid, ca. 2 uger inden frist for afgivelse af bud, og at udbuddet afgøres i god tid inden arbejdets påbegyndelse. Hvor lang tid ”god tid” er, afhænger dog i den sidste ende af opgavens art og omfang, men formålet er, at entreprenørerne kan foretage en fornuftig og hensigtsmæssig planlægning, og dermed billiggørelse af arbejderne.</w:t>
      </w:r>
    </w:p>
    <w:p w:rsidR="00616B76" w:rsidRDefault="00616B76" w:rsidP="00616B76">
      <w:pPr>
        <w:rPr>
          <w:rFonts w:ascii="Arial" w:hAnsi="Arial" w:cs="Arial"/>
          <w:b/>
          <w:sz w:val="20"/>
          <w:szCs w:val="20"/>
        </w:rPr>
      </w:pPr>
      <w:r>
        <w:rPr>
          <w:rFonts w:ascii="Arial" w:hAnsi="Arial" w:cs="Arial"/>
          <w:b/>
          <w:sz w:val="20"/>
          <w:szCs w:val="20"/>
        </w:rPr>
        <w:t>Kommunens valg af entreprenører</w:t>
      </w:r>
    </w:p>
    <w:p w:rsidR="00616B76" w:rsidRDefault="00616B76" w:rsidP="00616B76">
      <w:pPr>
        <w:rPr>
          <w:rFonts w:ascii="Arial" w:hAnsi="Arial" w:cs="Arial"/>
          <w:sz w:val="20"/>
          <w:szCs w:val="20"/>
        </w:rPr>
      </w:pPr>
      <w:r>
        <w:rPr>
          <w:rFonts w:ascii="Arial" w:hAnsi="Arial" w:cs="Arial"/>
          <w:sz w:val="20"/>
          <w:szCs w:val="20"/>
        </w:rPr>
        <w:t xml:space="preserve">Kommunen vil i princippet give alle entreprenører og håndværkere mulighed for at give </w:t>
      </w:r>
      <w:r w:rsidR="004A5700">
        <w:rPr>
          <w:rFonts w:ascii="Arial" w:hAnsi="Arial" w:cs="Arial"/>
          <w:sz w:val="20"/>
          <w:szCs w:val="20"/>
        </w:rPr>
        <w:t>underhåndsbud og deltage i licitationer m.v. Kommunen forbeholder sig dog retten til frit at vælge, hvem der skal indbydes t</w:t>
      </w:r>
      <w:r w:rsidR="004D39F4">
        <w:rPr>
          <w:rFonts w:ascii="Arial" w:hAnsi="Arial" w:cs="Arial"/>
          <w:sz w:val="20"/>
          <w:szCs w:val="20"/>
        </w:rPr>
        <w:t>il at give tilbud</w:t>
      </w:r>
      <w:r w:rsidR="004A5700">
        <w:rPr>
          <w:rFonts w:ascii="Arial" w:hAnsi="Arial" w:cs="Arial"/>
          <w:sz w:val="20"/>
          <w:szCs w:val="20"/>
        </w:rPr>
        <w:t xml:space="preserve"> blandt interesserede entreprenører/håndværkere.</w:t>
      </w:r>
    </w:p>
    <w:p w:rsidR="004A5700" w:rsidRDefault="004A5700" w:rsidP="00616B76">
      <w:pPr>
        <w:rPr>
          <w:rFonts w:ascii="Arial" w:hAnsi="Arial" w:cs="Arial"/>
          <w:sz w:val="20"/>
          <w:szCs w:val="20"/>
        </w:rPr>
      </w:pPr>
      <w:r>
        <w:rPr>
          <w:rFonts w:ascii="Arial" w:hAnsi="Arial" w:cs="Arial"/>
          <w:sz w:val="20"/>
          <w:szCs w:val="20"/>
        </w:rPr>
        <w:t>Det er således op til den enkelte bydende at yde kvalitet, service og arbejde til aftalt tid, for fortsat at blive indbudt.</w:t>
      </w:r>
    </w:p>
    <w:p w:rsidR="0078784E" w:rsidRDefault="0078784E" w:rsidP="00616B76">
      <w:pPr>
        <w:rPr>
          <w:rFonts w:ascii="Arial" w:hAnsi="Arial" w:cs="Arial"/>
          <w:b/>
          <w:sz w:val="20"/>
          <w:szCs w:val="20"/>
        </w:rPr>
      </w:pPr>
      <w:r>
        <w:rPr>
          <w:rFonts w:ascii="Arial" w:hAnsi="Arial" w:cs="Arial"/>
          <w:b/>
          <w:sz w:val="20"/>
          <w:szCs w:val="20"/>
        </w:rPr>
        <w:t>Forudsætninger for tilbud</w:t>
      </w:r>
    </w:p>
    <w:p w:rsidR="0078784E" w:rsidRDefault="0078784E" w:rsidP="00616B76">
      <w:pPr>
        <w:rPr>
          <w:rFonts w:ascii="Arial" w:hAnsi="Arial" w:cs="Arial"/>
          <w:sz w:val="20"/>
          <w:szCs w:val="20"/>
        </w:rPr>
      </w:pPr>
      <w:r>
        <w:rPr>
          <w:rFonts w:ascii="Arial" w:hAnsi="Arial" w:cs="Arial"/>
          <w:sz w:val="20"/>
          <w:szCs w:val="20"/>
        </w:rPr>
        <w:t>Ved afgivelse af tilbud til Vordingborg Kommune, skal tilbudsgiveren være særligt opmærksom på at alle arbejder udbydes på grundlag af AB 92.</w:t>
      </w:r>
    </w:p>
    <w:p w:rsidR="0078784E" w:rsidRDefault="0078784E" w:rsidP="00616B76">
      <w:pPr>
        <w:rPr>
          <w:rFonts w:ascii="Arial" w:hAnsi="Arial" w:cs="Arial"/>
          <w:sz w:val="20"/>
          <w:szCs w:val="20"/>
        </w:rPr>
      </w:pPr>
      <w:r>
        <w:rPr>
          <w:rFonts w:ascii="Arial" w:hAnsi="Arial" w:cs="Arial"/>
          <w:sz w:val="20"/>
          <w:szCs w:val="20"/>
        </w:rPr>
        <w:t>Der vil normalt ikke blive stillet krav om garantistillelse.</w:t>
      </w:r>
    </w:p>
    <w:p w:rsidR="0078784E" w:rsidRDefault="0078784E" w:rsidP="00616B76">
      <w:pPr>
        <w:rPr>
          <w:rFonts w:ascii="Arial" w:hAnsi="Arial" w:cs="Arial"/>
          <w:sz w:val="20"/>
          <w:szCs w:val="20"/>
        </w:rPr>
      </w:pPr>
      <w:r>
        <w:rPr>
          <w:rFonts w:ascii="Arial" w:hAnsi="Arial" w:cs="Arial"/>
          <w:sz w:val="20"/>
          <w:szCs w:val="20"/>
        </w:rPr>
        <w:t>Enhver tilbudsgiver skal samtidigt med afgivelsen af sit tilbud afgive en erklæring på tro og love om, i hvilket omfang tilbudsgiveren har ubetalt, forfalden gæld til det offentlige.</w:t>
      </w:r>
    </w:p>
    <w:p w:rsidR="0078784E" w:rsidRDefault="0078784E" w:rsidP="00616B76">
      <w:pPr>
        <w:rPr>
          <w:rFonts w:ascii="Arial" w:hAnsi="Arial" w:cs="Arial"/>
          <w:sz w:val="20"/>
          <w:szCs w:val="20"/>
        </w:rPr>
      </w:pPr>
      <w:r>
        <w:rPr>
          <w:rFonts w:ascii="Arial" w:hAnsi="Arial" w:cs="Arial"/>
          <w:sz w:val="20"/>
          <w:szCs w:val="20"/>
        </w:rPr>
        <w:t>En tilbudsgiver der ikke har afgivet den nævnte gældserklæring, eller har ubetalt forfalden gæld til det offentlige,</w:t>
      </w:r>
      <w:r w:rsidR="004D39F4">
        <w:rPr>
          <w:rFonts w:ascii="Arial" w:hAnsi="Arial" w:cs="Arial"/>
          <w:sz w:val="20"/>
          <w:szCs w:val="20"/>
        </w:rPr>
        <w:t xml:space="preserve"> der overstiger 100.000 kr., må jvnf, Lovbekendtgørelse nr. 336 af 13. maj 1997, </w:t>
      </w:r>
      <w:r>
        <w:rPr>
          <w:rFonts w:ascii="Arial" w:hAnsi="Arial" w:cs="Arial"/>
          <w:sz w:val="20"/>
          <w:szCs w:val="20"/>
        </w:rPr>
        <w:t>som udgangspunkt ikke udføre arbejde for kommunen.</w:t>
      </w:r>
    </w:p>
    <w:p w:rsidR="0078784E" w:rsidRDefault="0078784E" w:rsidP="00616B76">
      <w:pPr>
        <w:rPr>
          <w:rFonts w:ascii="Arial" w:hAnsi="Arial" w:cs="Arial"/>
          <w:b/>
          <w:sz w:val="20"/>
          <w:szCs w:val="20"/>
        </w:rPr>
      </w:pPr>
      <w:r>
        <w:rPr>
          <w:rFonts w:ascii="Arial" w:hAnsi="Arial" w:cs="Arial"/>
          <w:b/>
          <w:sz w:val="20"/>
          <w:szCs w:val="20"/>
        </w:rPr>
        <w:t>Administrationsgrundlaget er et supplement til lovgivning o.l.</w:t>
      </w:r>
    </w:p>
    <w:p w:rsidR="0078784E" w:rsidRPr="0078784E" w:rsidRDefault="0078784E" w:rsidP="00616B76">
      <w:pPr>
        <w:rPr>
          <w:rFonts w:ascii="Arial" w:hAnsi="Arial" w:cs="Arial"/>
          <w:sz w:val="20"/>
          <w:szCs w:val="20"/>
        </w:rPr>
      </w:pPr>
      <w:r>
        <w:rPr>
          <w:rFonts w:ascii="Arial" w:hAnsi="Arial" w:cs="Arial"/>
          <w:sz w:val="20"/>
          <w:szCs w:val="20"/>
        </w:rPr>
        <w:t>Det beskrevne i dette administrationsgrundlag er et supplement til lov</w:t>
      </w:r>
      <w:r w:rsidR="007C474C">
        <w:rPr>
          <w:rFonts w:ascii="Arial" w:hAnsi="Arial" w:cs="Arial"/>
          <w:sz w:val="20"/>
          <w:szCs w:val="20"/>
        </w:rPr>
        <w:t>givning, bekendtgørelser, vejledninger m.v. Hvis der ved udgivelse af vejledninger eller lignende opstår modsætningsforhold, vil grundlaget blive ændret i overensstemmelse hermed.</w:t>
      </w:r>
    </w:p>
    <w:p w:rsidR="0078784E" w:rsidRPr="0078784E" w:rsidRDefault="0078784E" w:rsidP="00616B76">
      <w:pPr>
        <w:rPr>
          <w:rFonts w:ascii="Arial" w:hAnsi="Arial" w:cs="Arial"/>
          <w:b/>
          <w:sz w:val="20"/>
          <w:szCs w:val="20"/>
        </w:rPr>
      </w:pPr>
    </w:p>
    <w:p w:rsidR="0078784E" w:rsidRPr="0078784E" w:rsidRDefault="0078784E" w:rsidP="00616B76">
      <w:pPr>
        <w:rPr>
          <w:rFonts w:ascii="Arial" w:hAnsi="Arial" w:cs="Arial"/>
          <w:b/>
          <w:sz w:val="20"/>
          <w:szCs w:val="20"/>
        </w:rPr>
      </w:pPr>
    </w:p>
    <w:sectPr w:rsidR="0078784E" w:rsidRPr="0078784E" w:rsidSect="004B47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51C23"/>
    <w:multiLevelType w:val="hybridMultilevel"/>
    <w:tmpl w:val="2EF4C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3707F3"/>
    <w:multiLevelType w:val="hybridMultilevel"/>
    <w:tmpl w:val="4A449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0BB2A2A-C903-4929-A6C3-A62E5508BF64}"/>
  </w:docVars>
  <w:rsids>
    <w:rsidRoot w:val="00661332"/>
    <w:rsid w:val="000038B2"/>
    <w:rsid w:val="00004204"/>
    <w:rsid w:val="00024F00"/>
    <w:rsid w:val="00055745"/>
    <w:rsid w:val="000A64A4"/>
    <w:rsid w:val="000D00C5"/>
    <w:rsid w:val="00103798"/>
    <w:rsid w:val="00113E72"/>
    <w:rsid w:val="00132D81"/>
    <w:rsid w:val="00134DBB"/>
    <w:rsid w:val="001521E8"/>
    <w:rsid w:val="001A444D"/>
    <w:rsid w:val="001B0E19"/>
    <w:rsid w:val="001B3A45"/>
    <w:rsid w:val="001F498A"/>
    <w:rsid w:val="002373E3"/>
    <w:rsid w:val="00270D7C"/>
    <w:rsid w:val="002B5BB2"/>
    <w:rsid w:val="00337B1F"/>
    <w:rsid w:val="00366018"/>
    <w:rsid w:val="004021FF"/>
    <w:rsid w:val="0040384A"/>
    <w:rsid w:val="00431176"/>
    <w:rsid w:val="00455EC7"/>
    <w:rsid w:val="004568CD"/>
    <w:rsid w:val="0047216B"/>
    <w:rsid w:val="004923C9"/>
    <w:rsid w:val="004A5700"/>
    <w:rsid w:val="004B470F"/>
    <w:rsid w:val="004D39F4"/>
    <w:rsid w:val="004E4678"/>
    <w:rsid w:val="005108B1"/>
    <w:rsid w:val="00511BE0"/>
    <w:rsid w:val="005270D1"/>
    <w:rsid w:val="00561EC4"/>
    <w:rsid w:val="00590A76"/>
    <w:rsid w:val="00596476"/>
    <w:rsid w:val="005C6474"/>
    <w:rsid w:val="005D35EB"/>
    <w:rsid w:val="005F0180"/>
    <w:rsid w:val="00603405"/>
    <w:rsid w:val="006129BB"/>
    <w:rsid w:val="0061415D"/>
    <w:rsid w:val="00616B76"/>
    <w:rsid w:val="00620901"/>
    <w:rsid w:val="00623179"/>
    <w:rsid w:val="00636BEA"/>
    <w:rsid w:val="00661332"/>
    <w:rsid w:val="00673A34"/>
    <w:rsid w:val="006C3582"/>
    <w:rsid w:val="006C7F95"/>
    <w:rsid w:val="006F41F3"/>
    <w:rsid w:val="00703524"/>
    <w:rsid w:val="0078784E"/>
    <w:rsid w:val="007A0668"/>
    <w:rsid w:val="007C474C"/>
    <w:rsid w:val="007C7C4C"/>
    <w:rsid w:val="0081690B"/>
    <w:rsid w:val="00823CDD"/>
    <w:rsid w:val="008330DB"/>
    <w:rsid w:val="00854477"/>
    <w:rsid w:val="008626AA"/>
    <w:rsid w:val="0086305D"/>
    <w:rsid w:val="0088167F"/>
    <w:rsid w:val="008842EF"/>
    <w:rsid w:val="008C2CDE"/>
    <w:rsid w:val="008E03A0"/>
    <w:rsid w:val="00901CB2"/>
    <w:rsid w:val="009316DF"/>
    <w:rsid w:val="0093469C"/>
    <w:rsid w:val="009414C8"/>
    <w:rsid w:val="009546B1"/>
    <w:rsid w:val="009A1296"/>
    <w:rsid w:val="009F07D6"/>
    <w:rsid w:val="00A23119"/>
    <w:rsid w:val="00A33917"/>
    <w:rsid w:val="00A37E6E"/>
    <w:rsid w:val="00B24757"/>
    <w:rsid w:val="00B629E7"/>
    <w:rsid w:val="00B905BC"/>
    <w:rsid w:val="00C354AC"/>
    <w:rsid w:val="00C7446E"/>
    <w:rsid w:val="00CD47E7"/>
    <w:rsid w:val="00D84D33"/>
    <w:rsid w:val="00DB6254"/>
    <w:rsid w:val="00DC0FBC"/>
    <w:rsid w:val="00DC5A2E"/>
    <w:rsid w:val="00DE4644"/>
    <w:rsid w:val="00DF35D6"/>
    <w:rsid w:val="00DF5EF0"/>
    <w:rsid w:val="00E06A23"/>
    <w:rsid w:val="00E62C6A"/>
    <w:rsid w:val="00E66A59"/>
    <w:rsid w:val="00E66BD0"/>
    <w:rsid w:val="00F06887"/>
    <w:rsid w:val="00F12CC4"/>
    <w:rsid w:val="00F148F8"/>
    <w:rsid w:val="00F22E84"/>
    <w:rsid w:val="00F2564D"/>
    <w:rsid w:val="00F26D21"/>
    <w:rsid w:val="00F32B99"/>
    <w:rsid w:val="00F45E98"/>
    <w:rsid w:val="00F500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F770C-2B25-4D88-ADA7-0DC51DD1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1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D62649CA</Template>
  <TotalTime>0</TotalTime>
  <Pages>2</Pages>
  <Words>597</Words>
  <Characters>3648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PMKpeter møller kristensen</dc:creator>
  <cp:lastModifiedBy>Mette Christiansen</cp:lastModifiedBy>
  <cp:revision>2</cp:revision>
  <cp:lastPrinted>2014-09-08T07:59:00Z</cp:lastPrinted>
  <dcterms:created xsi:type="dcterms:W3CDTF">2015-12-29T12:40:00Z</dcterms:created>
  <dcterms:modified xsi:type="dcterms:W3CDTF">2015-12-29T12:40:00Z</dcterms:modified>
</cp:coreProperties>
</file>