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89" w:rsidRPr="002932A3" w:rsidRDefault="00BC5C89">
      <w:pPr>
        <w:spacing w:after="200"/>
      </w:pPr>
      <w:bookmarkStart w:id="0" w:name="_GoBack"/>
      <w:bookmarkEnd w:id="0"/>
    </w:p>
    <w:p w:rsidR="008514BD" w:rsidRPr="002932A3" w:rsidRDefault="008514BD" w:rsidP="00A87D45">
      <w:pPr>
        <w:spacing w:after="200"/>
      </w:pPr>
    </w:p>
    <w:p w:rsidR="00BC5C89" w:rsidRPr="002932A3" w:rsidRDefault="00BC5C89" w:rsidP="00A87D45">
      <w:pPr>
        <w:spacing w:after="200"/>
      </w:pPr>
    </w:p>
    <w:p w:rsidR="0079528D" w:rsidRPr="002932A3" w:rsidRDefault="0079528D" w:rsidP="00A87D45">
      <w:pPr>
        <w:spacing w:after="200"/>
      </w:pPr>
    </w:p>
    <w:tbl>
      <w:tblPr>
        <w:tblpPr w:vertAnchor="page" w:horzAnchor="page" w:tblpX="738" w:tblpY="2949"/>
        <w:tblOverlap w:val="never"/>
        <w:tblW w:w="6804" w:type="dxa"/>
        <w:tblLayout w:type="fixed"/>
        <w:tblCellMar>
          <w:left w:w="0" w:type="dxa"/>
          <w:right w:w="0" w:type="dxa"/>
        </w:tblCellMar>
        <w:tblLook w:val="0000" w:firstRow="0" w:lastRow="0" w:firstColumn="0" w:lastColumn="0" w:noHBand="0" w:noVBand="0"/>
      </w:tblPr>
      <w:tblGrid>
        <w:gridCol w:w="6804"/>
      </w:tblGrid>
      <w:tr w:rsidR="0079528D" w:rsidRPr="002932A3" w:rsidTr="002947A9">
        <w:trPr>
          <w:trHeight w:hRule="exact" w:val="743"/>
        </w:trPr>
        <w:tc>
          <w:tcPr>
            <w:tcW w:w="6804" w:type="dxa"/>
            <w:shd w:val="clear" w:color="auto" w:fill="auto"/>
          </w:tcPr>
          <w:p w:rsidR="0079528D" w:rsidRPr="002932A3" w:rsidRDefault="0079528D" w:rsidP="002932A3">
            <w:pPr>
              <w:pStyle w:val="IntrotextWhite"/>
            </w:pPr>
          </w:p>
        </w:tc>
      </w:tr>
      <w:tr w:rsidR="00FA717E" w:rsidRPr="002932A3" w:rsidTr="002947A9">
        <w:trPr>
          <w:trHeight w:hRule="exact" w:val="5209"/>
        </w:trPr>
        <w:tc>
          <w:tcPr>
            <w:tcW w:w="6804" w:type="dxa"/>
            <w:shd w:val="clear" w:color="auto" w:fill="auto"/>
          </w:tcPr>
          <w:p w:rsidR="00FA717E" w:rsidRPr="002947A9" w:rsidRDefault="002947A9" w:rsidP="002947A9">
            <w:pPr>
              <w:pStyle w:val="HeadingWhite"/>
              <w:rPr>
                <w:sz w:val="56"/>
                <w:szCs w:val="56"/>
              </w:rPr>
            </w:pPr>
            <w:r w:rsidRPr="002947A9">
              <w:rPr>
                <w:sz w:val="56"/>
                <w:szCs w:val="56"/>
              </w:rPr>
              <w:t>Sygemelding</w:t>
            </w:r>
            <w:r w:rsidR="002932A3" w:rsidRPr="002947A9">
              <w:rPr>
                <w:sz w:val="56"/>
                <w:szCs w:val="56"/>
              </w:rPr>
              <w:t xml:space="preserve"> </w:t>
            </w:r>
            <w:r w:rsidRPr="002947A9">
              <w:rPr>
                <w:sz w:val="56"/>
                <w:szCs w:val="56"/>
              </w:rPr>
              <w:t>–</w:t>
            </w:r>
            <w:r w:rsidR="002932A3" w:rsidRPr="002947A9">
              <w:rPr>
                <w:sz w:val="56"/>
                <w:szCs w:val="56"/>
              </w:rPr>
              <w:t xml:space="preserve"> </w:t>
            </w:r>
            <w:r w:rsidRPr="002947A9">
              <w:rPr>
                <w:sz w:val="40"/>
                <w:szCs w:val="40"/>
              </w:rPr>
              <w:t xml:space="preserve">forløb </w:t>
            </w:r>
            <w:r w:rsidR="002932A3" w:rsidRPr="002947A9">
              <w:rPr>
                <w:sz w:val="40"/>
                <w:szCs w:val="40"/>
              </w:rPr>
              <w:t>og konsekvenser</w:t>
            </w:r>
            <w:r w:rsidRPr="002947A9">
              <w:rPr>
                <w:sz w:val="40"/>
                <w:szCs w:val="40"/>
              </w:rPr>
              <w:t xml:space="preserve"> for arbejdsgiver</w:t>
            </w:r>
          </w:p>
        </w:tc>
      </w:tr>
    </w:tbl>
    <w:p w:rsidR="00BC5C89" w:rsidRPr="002932A3" w:rsidRDefault="00BC5C89" w:rsidP="003A7D45">
      <w:pPr>
        <w:pStyle w:val="HeadingBlack"/>
      </w:pPr>
    </w:p>
    <w:p w:rsidR="006F4B44" w:rsidRPr="002932A3" w:rsidRDefault="00004830">
      <w:pPr>
        <w:spacing w:after="200"/>
      </w:pPr>
      <w:r w:rsidRPr="002932A3">
        <w:br w:type="page"/>
      </w:r>
    </w:p>
    <w:tbl>
      <w:tblPr>
        <w:tblpPr w:leftFromText="141" w:rightFromText="141" w:vertAnchor="page" w:horzAnchor="page" w:tblpX="738" w:tblpY="738"/>
        <w:tblOverlap w:val="never"/>
        <w:tblW w:w="7007" w:type="dxa"/>
        <w:tblLayout w:type="fixed"/>
        <w:tblCellMar>
          <w:left w:w="0" w:type="dxa"/>
          <w:right w:w="0" w:type="dxa"/>
        </w:tblCellMar>
        <w:tblLook w:val="0000" w:firstRow="0" w:lastRow="0" w:firstColumn="0" w:lastColumn="0" w:noHBand="0" w:noVBand="0"/>
      </w:tblPr>
      <w:tblGrid>
        <w:gridCol w:w="7007"/>
      </w:tblGrid>
      <w:tr w:rsidR="006F4B44" w:rsidRPr="002932A3" w:rsidTr="002932A3">
        <w:trPr>
          <w:trHeight w:val="2298"/>
        </w:trPr>
        <w:tc>
          <w:tcPr>
            <w:tcW w:w="7007" w:type="dxa"/>
            <w:vAlign w:val="bottom"/>
          </w:tcPr>
          <w:p w:rsidR="002932A3" w:rsidRDefault="002932A3" w:rsidP="003A7D45">
            <w:pPr>
              <w:pStyle w:val="IntrotextBlack"/>
              <w:rPr>
                <w:b/>
                <w:sz w:val="60"/>
                <w:szCs w:val="60"/>
              </w:rPr>
            </w:pPr>
          </w:p>
          <w:p w:rsidR="002932A3" w:rsidRDefault="002932A3" w:rsidP="003A7D45">
            <w:pPr>
              <w:pStyle w:val="IntrotextBlack"/>
              <w:rPr>
                <w:b/>
                <w:sz w:val="60"/>
                <w:szCs w:val="60"/>
              </w:rPr>
            </w:pPr>
          </w:p>
          <w:p w:rsidR="006F4B44" w:rsidRPr="00B321C1" w:rsidRDefault="00B321C1" w:rsidP="003A7D45">
            <w:pPr>
              <w:pStyle w:val="IntrotextBlack"/>
              <w:rPr>
                <w:b/>
                <w:sz w:val="44"/>
                <w:szCs w:val="44"/>
              </w:rPr>
            </w:pPr>
            <w:r w:rsidRPr="00B321C1">
              <w:rPr>
                <w:b/>
                <w:sz w:val="44"/>
                <w:szCs w:val="44"/>
              </w:rPr>
              <w:t>F</w:t>
            </w:r>
            <w:r w:rsidR="002932A3" w:rsidRPr="00B321C1">
              <w:rPr>
                <w:b/>
                <w:sz w:val="44"/>
                <w:szCs w:val="44"/>
              </w:rPr>
              <w:t>orløb</w:t>
            </w:r>
            <w:r w:rsidRPr="00B321C1">
              <w:rPr>
                <w:b/>
                <w:sz w:val="44"/>
                <w:szCs w:val="44"/>
              </w:rPr>
              <w:t xml:space="preserve"> ved en sygemelding</w:t>
            </w:r>
          </w:p>
          <w:p w:rsidR="006F4B44" w:rsidRPr="002932A3" w:rsidRDefault="006F4B44" w:rsidP="003A7D45">
            <w:pPr>
              <w:pStyle w:val="HeadingBlack"/>
            </w:pPr>
          </w:p>
        </w:tc>
      </w:tr>
    </w:tbl>
    <w:p w:rsidR="002932A3" w:rsidRPr="0021206E" w:rsidRDefault="002932A3" w:rsidP="002932A3">
      <w:pPr>
        <w:rPr>
          <w:b/>
          <w:sz w:val="21"/>
          <w:szCs w:val="21"/>
        </w:rPr>
      </w:pPr>
      <w:r w:rsidRPr="0021206E">
        <w:rPr>
          <w:b/>
          <w:sz w:val="21"/>
          <w:szCs w:val="21"/>
        </w:rPr>
        <w:lastRenderedPageBreak/>
        <w:t xml:space="preserve">1. Modtage sygemelding </w:t>
      </w:r>
    </w:p>
    <w:p w:rsidR="002932A3" w:rsidRDefault="002932A3" w:rsidP="002932A3">
      <w:r>
        <w:t>De første 30 dage betales af arbejdsgiver, undtaget hvis medarbejderen har været ansat under 8 uger. Dette oplyses, når du anmelder sygemeldingen.</w:t>
      </w:r>
    </w:p>
    <w:p w:rsidR="002932A3" w:rsidRDefault="002932A3" w:rsidP="002932A3">
      <w:pPr>
        <w:rPr>
          <w:b/>
        </w:rPr>
      </w:pPr>
    </w:p>
    <w:p w:rsidR="002932A3" w:rsidRPr="0021206E" w:rsidRDefault="002932A3" w:rsidP="002932A3">
      <w:pPr>
        <w:rPr>
          <w:b/>
          <w:sz w:val="21"/>
          <w:szCs w:val="21"/>
        </w:rPr>
      </w:pPr>
      <w:r w:rsidRPr="0021206E">
        <w:rPr>
          <w:b/>
          <w:sz w:val="21"/>
          <w:szCs w:val="21"/>
        </w:rPr>
        <w:t xml:space="preserve">2. Anmelde sygemelding </w:t>
      </w:r>
    </w:p>
    <w:p w:rsidR="002932A3" w:rsidRPr="00914F39" w:rsidRDefault="002932A3" w:rsidP="002932A3">
      <w:r w:rsidRPr="00914F39">
        <w:t xml:space="preserve">Det skal </w:t>
      </w:r>
      <w:r>
        <w:t>ske inden for</w:t>
      </w:r>
      <w:r w:rsidRPr="00914F39">
        <w:t xml:space="preserve"> 5 </w:t>
      </w:r>
      <w:r w:rsidRPr="00914F39">
        <w:rPr>
          <w:bCs/>
        </w:rPr>
        <w:t>uger og gøre</w:t>
      </w:r>
      <w:r>
        <w:rPr>
          <w:bCs/>
        </w:rPr>
        <w:t>s</w:t>
      </w:r>
      <w:r w:rsidRPr="00914F39">
        <w:rPr>
          <w:bCs/>
        </w:rPr>
        <w:t xml:space="preserve"> via</w:t>
      </w:r>
      <w:r w:rsidRPr="00914F39">
        <w:t xml:space="preserve"> </w:t>
      </w:r>
      <w:hyperlink r:id="rId8" w:history="1">
        <w:r w:rsidRPr="00BB30A5">
          <w:rPr>
            <w:rStyle w:val="Hyperlink"/>
          </w:rPr>
          <w:t>www.</w:t>
        </w:r>
        <w:r w:rsidRPr="00BB30A5">
          <w:rPr>
            <w:rStyle w:val="Hyperlink"/>
            <w:bCs/>
          </w:rPr>
          <w:t>nemrefusion.dk</w:t>
        </w:r>
      </w:hyperlink>
      <w:r>
        <w:rPr>
          <w:bCs/>
        </w:rPr>
        <w:t xml:space="preserve"> </w:t>
      </w:r>
      <w:r>
        <w:t>Husk at besvare de tre spørgsmål om sygdommens konsekvenser for varetagelsen af arbejdet – de danner grundlag for det videre forløb.</w:t>
      </w:r>
    </w:p>
    <w:p w:rsidR="002932A3" w:rsidRDefault="002932A3" w:rsidP="002932A3">
      <w:pPr>
        <w:rPr>
          <w:i/>
        </w:rPr>
      </w:pPr>
    </w:p>
    <w:p w:rsidR="002932A3" w:rsidRPr="000019F0" w:rsidRDefault="002932A3" w:rsidP="002932A3">
      <w:pPr>
        <w:rPr>
          <w:i/>
        </w:rPr>
      </w:pPr>
      <w:r w:rsidRPr="002131E2">
        <w:rPr>
          <w:b/>
          <w:i/>
        </w:rPr>
        <w:t>Relevant overvejelse:</w:t>
      </w:r>
      <w:r>
        <w:rPr>
          <w:i/>
        </w:rPr>
        <w:t xml:space="preserve"> </w:t>
      </w:r>
      <w:r w:rsidRPr="00C66070">
        <w:t xml:space="preserve">Hvis sygemeldingen forventes at vare længere end 8 uger kan det være relevant at anmode om </w:t>
      </w:r>
      <w:r w:rsidRPr="009D7B70">
        <w:rPr>
          <w:i/>
        </w:rPr>
        <w:t>tidlig indsats</w:t>
      </w:r>
      <w:r w:rsidRPr="00C66070">
        <w:t>. Det kan du gøre, når du anmelder sygemeldingen.</w:t>
      </w:r>
      <w:r>
        <w:t xml:space="preserve"> </w:t>
      </w:r>
    </w:p>
    <w:p w:rsidR="002932A3" w:rsidRDefault="002932A3" w:rsidP="002932A3">
      <w:pPr>
        <w:rPr>
          <w:b/>
        </w:rPr>
      </w:pPr>
    </w:p>
    <w:p w:rsidR="002932A3" w:rsidRPr="0021206E" w:rsidRDefault="002932A3" w:rsidP="002932A3">
      <w:pPr>
        <w:rPr>
          <w:b/>
          <w:sz w:val="21"/>
          <w:szCs w:val="21"/>
        </w:rPr>
      </w:pPr>
      <w:r w:rsidRPr="0021206E">
        <w:rPr>
          <w:b/>
          <w:sz w:val="21"/>
          <w:szCs w:val="21"/>
        </w:rPr>
        <w:t>3. Tidlig indsats</w:t>
      </w:r>
    </w:p>
    <w:p w:rsidR="002932A3" w:rsidRDefault="00A21B59" w:rsidP="002932A3">
      <w:r>
        <w:t>A</w:t>
      </w:r>
      <w:r w:rsidR="002932A3">
        <w:t xml:space="preserve">llerede fra den 1. sygedag </w:t>
      </w:r>
      <w:r w:rsidRPr="00C66070">
        <w:t xml:space="preserve">kan </w:t>
      </w:r>
      <w:r>
        <w:t xml:space="preserve">I anmode om en </w:t>
      </w:r>
      <w:r w:rsidRPr="009D7B70">
        <w:rPr>
          <w:i/>
        </w:rPr>
        <w:t>tidlig indsats</w:t>
      </w:r>
      <w:r>
        <w:t xml:space="preserve">, hvis </w:t>
      </w:r>
      <w:r w:rsidRPr="00C66070">
        <w:t>sygemeldingen forventes at vare længere end 8 uger</w:t>
      </w:r>
      <w:r>
        <w:t>. Anmodning skal senest ske</w:t>
      </w:r>
      <w:r w:rsidR="002932A3">
        <w:t xml:space="preserve"> </w:t>
      </w:r>
      <w:r w:rsidR="002932A3" w:rsidRPr="00E1642F">
        <w:t>inden</w:t>
      </w:r>
      <w:r w:rsidR="002932A3">
        <w:t xml:space="preserve"> for de første </w:t>
      </w:r>
      <w:r w:rsidR="002932A3" w:rsidRPr="00E1642F">
        <w:t>5</w:t>
      </w:r>
      <w:r w:rsidR="002932A3" w:rsidRPr="00914F39">
        <w:t xml:space="preserve"> </w:t>
      </w:r>
      <w:r>
        <w:rPr>
          <w:bCs/>
        </w:rPr>
        <w:t xml:space="preserve">uger </w:t>
      </w:r>
      <w:r w:rsidR="002932A3" w:rsidRPr="00914F39">
        <w:rPr>
          <w:bCs/>
        </w:rPr>
        <w:t>via</w:t>
      </w:r>
      <w:r w:rsidR="002932A3" w:rsidRPr="00914F39">
        <w:t xml:space="preserve"> </w:t>
      </w:r>
      <w:hyperlink r:id="rId9" w:history="1">
        <w:r w:rsidR="002932A3" w:rsidRPr="00BB30A5">
          <w:rPr>
            <w:rStyle w:val="Hyperlink"/>
          </w:rPr>
          <w:t>www.</w:t>
        </w:r>
        <w:r w:rsidR="002932A3" w:rsidRPr="00BB30A5">
          <w:rPr>
            <w:rStyle w:val="Hyperlink"/>
            <w:bCs/>
          </w:rPr>
          <w:t>nemrefusion.dk</w:t>
        </w:r>
      </w:hyperlink>
      <w:r w:rsidR="002932A3">
        <w:rPr>
          <w:bCs/>
        </w:rPr>
        <w:t xml:space="preserve"> </w:t>
      </w:r>
      <w:r w:rsidR="002932A3">
        <w:t xml:space="preserve"> </w:t>
      </w:r>
    </w:p>
    <w:p w:rsidR="00B1758E" w:rsidRPr="002932A3" w:rsidRDefault="002932A3" w:rsidP="002932A3">
      <w:r w:rsidRPr="00B13809">
        <w:lastRenderedPageBreak/>
        <w:t>Tidlig indsats</w:t>
      </w:r>
      <w:r>
        <w:t xml:space="preserve"> betyder, at f</w:t>
      </w:r>
      <w:r w:rsidRPr="00B13809">
        <w:t>ørste</w:t>
      </w:r>
      <w:r>
        <w:t xml:space="preserve"> samtale mellem medarbejder og Jobcenter afholdes senest to uger efter din anmodning. Medarbejderen skal dog give samtykke</w:t>
      </w:r>
      <w:r w:rsidR="009D7B70">
        <w:t>,</w:t>
      </w:r>
      <w:r>
        <w:t xml:space="preserve"> og gå til egen læge inden det første møde. Det er Jobcenterets fastholdelseskonsulent, der varetager forløb med tidlig indsats.</w:t>
      </w:r>
    </w:p>
    <w:p w:rsidR="002932A3" w:rsidRDefault="002932A3" w:rsidP="002932A3">
      <w:pPr>
        <w:rPr>
          <w:b/>
        </w:rPr>
      </w:pPr>
    </w:p>
    <w:p w:rsidR="002932A3" w:rsidRPr="0021206E" w:rsidRDefault="002932A3" w:rsidP="002932A3">
      <w:pPr>
        <w:rPr>
          <w:b/>
          <w:sz w:val="21"/>
          <w:szCs w:val="21"/>
        </w:rPr>
      </w:pPr>
      <w:r w:rsidRPr="0021206E">
        <w:rPr>
          <w:b/>
          <w:sz w:val="21"/>
          <w:szCs w:val="21"/>
        </w:rPr>
        <w:t xml:space="preserve">4. Oplysningsskema </w:t>
      </w:r>
    </w:p>
    <w:p w:rsidR="002932A3" w:rsidRDefault="002932A3" w:rsidP="002932A3">
      <w:pPr>
        <w:spacing w:after="120"/>
      </w:pPr>
      <w:r>
        <w:t>Når du har anmeldt en sygemelding, sendes der et oplysningsskema til medarbejderen, der skal returnere skemaet til Jobcenteret inden for 8 dage. Medarbejderen oplyses om, at manglende returnering har konsekvenser både for ham/hende samt virksomheden.</w:t>
      </w:r>
    </w:p>
    <w:p w:rsidR="002932A3" w:rsidRDefault="002932A3" w:rsidP="002932A3">
      <w:pPr>
        <w:spacing w:after="120"/>
        <w:rPr>
          <w:i/>
        </w:rPr>
      </w:pPr>
      <w:r w:rsidRPr="002131E2">
        <w:rPr>
          <w:b/>
          <w:i/>
        </w:rPr>
        <w:t>Konsekvenser:</w:t>
      </w:r>
      <w:r>
        <w:rPr>
          <w:i/>
        </w:rPr>
        <w:t xml:space="preserve"> </w:t>
      </w:r>
      <w:r w:rsidRPr="00C66070">
        <w:t>Sygedagpengesag og ref</w:t>
      </w:r>
      <w:r w:rsidR="00D725F1">
        <w:t>usionen stoppes efter de 8 dage, hvis skemaet ikke returneres.</w:t>
      </w:r>
      <w:r>
        <w:rPr>
          <w:i/>
        </w:rPr>
        <w:t xml:space="preserve"> </w:t>
      </w:r>
    </w:p>
    <w:p w:rsidR="002932A3" w:rsidRPr="00E2175C" w:rsidRDefault="002932A3" w:rsidP="002932A3">
      <w:pPr>
        <w:rPr>
          <w:i/>
        </w:rPr>
      </w:pPr>
      <w:r w:rsidRPr="00942072">
        <w:t>Sagen og refusionen kan genoptages, hvis medarbejderen inden for 4 uger sender oplysnings</w:t>
      </w:r>
      <w:r>
        <w:t>-</w:t>
      </w:r>
      <w:r w:rsidRPr="00942072">
        <w:t>skemaet. Sagen og refusionen genoptages dagen efter modtagelsen.</w:t>
      </w:r>
    </w:p>
    <w:p w:rsidR="00B321C1" w:rsidRDefault="00B321C1" w:rsidP="002932A3">
      <w:pPr>
        <w:rPr>
          <w:b/>
        </w:rPr>
      </w:pPr>
    </w:p>
    <w:p w:rsidR="002932A3" w:rsidRPr="0021206E" w:rsidRDefault="002947A9" w:rsidP="002932A3">
      <w:pPr>
        <w:rPr>
          <w:b/>
          <w:sz w:val="21"/>
          <w:szCs w:val="21"/>
        </w:rPr>
      </w:pPr>
      <w:r w:rsidRPr="0021206E">
        <w:rPr>
          <w:b/>
          <w:sz w:val="21"/>
          <w:szCs w:val="21"/>
        </w:rPr>
        <w:lastRenderedPageBreak/>
        <w:t>5</w:t>
      </w:r>
      <w:r w:rsidR="002932A3" w:rsidRPr="0021206E">
        <w:rPr>
          <w:b/>
          <w:sz w:val="21"/>
          <w:szCs w:val="21"/>
        </w:rPr>
        <w:t xml:space="preserve">. Første henvendelse </w:t>
      </w:r>
    </w:p>
    <w:p w:rsidR="002932A3" w:rsidRDefault="002932A3" w:rsidP="002932A3">
      <w:pPr>
        <w:spacing w:after="120"/>
        <w:rPr>
          <w:i/>
        </w:rPr>
      </w:pPr>
      <w:r>
        <w:t xml:space="preserve">Når Jobcenteret har </w:t>
      </w:r>
      <w:r w:rsidR="00FA2F93">
        <w:t>modtaget oplysningsskemaet</w:t>
      </w:r>
      <w:r>
        <w:t xml:space="preserve">, orienteres du om, at sygemeldingen er registreret og at vejlederen i Jobcenteret er på sagen. </w:t>
      </w:r>
    </w:p>
    <w:p w:rsidR="002932A3" w:rsidRDefault="002932A3" w:rsidP="002932A3">
      <w:pPr>
        <w:spacing w:after="120"/>
        <w:rPr>
          <w:i/>
        </w:rPr>
      </w:pPr>
      <w:r>
        <w:t xml:space="preserve">Lige fra den første kontakt skal Jobcenteret løbende foretage en vurdering af din medarbejders uarbejdsdygtighed. </w:t>
      </w:r>
    </w:p>
    <w:p w:rsidR="002932A3" w:rsidRPr="00345ED1" w:rsidRDefault="002932A3" w:rsidP="002932A3">
      <w:pPr>
        <w:rPr>
          <w:i/>
        </w:rPr>
      </w:pPr>
      <w:r w:rsidRPr="002131E2">
        <w:rPr>
          <w:b/>
          <w:i/>
        </w:rPr>
        <w:t>Relevant overvejelse</w:t>
      </w:r>
      <w:r>
        <w:rPr>
          <w:i/>
        </w:rPr>
        <w:t xml:space="preserve">: </w:t>
      </w:r>
      <w:r w:rsidRPr="00C66070">
        <w:t xml:space="preserve">Er der mulighed for delvis genoptagelse af arbejdet evt. ved en omplacering.  </w:t>
      </w:r>
    </w:p>
    <w:p w:rsidR="002932A3" w:rsidRDefault="002932A3" w:rsidP="002932A3">
      <w:pPr>
        <w:rPr>
          <w:b/>
        </w:rPr>
      </w:pPr>
    </w:p>
    <w:p w:rsidR="002932A3" w:rsidRPr="0021206E" w:rsidRDefault="002932A3" w:rsidP="002932A3">
      <w:pPr>
        <w:rPr>
          <w:b/>
          <w:sz w:val="21"/>
          <w:szCs w:val="21"/>
        </w:rPr>
      </w:pPr>
      <w:r w:rsidRPr="0021206E">
        <w:rPr>
          <w:b/>
          <w:sz w:val="21"/>
          <w:szCs w:val="21"/>
        </w:rPr>
        <w:t xml:space="preserve">6. Opfølgningssamtale </w:t>
      </w:r>
    </w:p>
    <w:p w:rsidR="002932A3" w:rsidRDefault="002932A3" w:rsidP="002932A3">
      <w:pPr>
        <w:spacing w:after="120"/>
        <w:rPr>
          <w:i/>
        </w:rPr>
      </w:pPr>
      <w:r>
        <w:t xml:space="preserve">Under sygemeldingen skal medarbejderen møde til opfølgning i Jobcenteret. Ved udeblivelse vil </w:t>
      </w:r>
      <w:r w:rsidRPr="00E1642F">
        <w:t>Jobcenteret sende dig en orientering.</w:t>
      </w:r>
    </w:p>
    <w:p w:rsidR="002932A3" w:rsidRDefault="002932A3" w:rsidP="002932A3">
      <w:pPr>
        <w:spacing w:after="120"/>
        <w:rPr>
          <w:i/>
          <w:color w:val="FF0000"/>
        </w:rPr>
      </w:pPr>
      <w:r w:rsidRPr="002131E2">
        <w:rPr>
          <w:b/>
          <w:i/>
        </w:rPr>
        <w:t>Konsekvens:</w:t>
      </w:r>
      <w:r>
        <w:rPr>
          <w:i/>
        </w:rPr>
        <w:t xml:space="preserve"> </w:t>
      </w:r>
      <w:r w:rsidRPr="00C66070">
        <w:t>Sygedagpengesagen lukkes og refusionen stoppes indtil medarbejderen retter henvendelse til Jobcenteret. Refusion genoptages dagen efter henvendelsen.</w:t>
      </w:r>
    </w:p>
    <w:p w:rsidR="002932A3" w:rsidRPr="00E1642F" w:rsidRDefault="002932A3" w:rsidP="002932A3">
      <w:pPr>
        <w:rPr>
          <w:i/>
        </w:rPr>
      </w:pPr>
      <w:r>
        <w:rPr>
          <w:b/>
          <w:i/>
        </w:rPr>
        <w:t>Konsekvens ved gentaget</w:t>
      </w:r>
      <w:r w:rsidRPr="002131E2">
        <w:rPr>
          <w:b/>
          <w:i/>
        </w:rPr>
        <w:t xml:space="preserve"> udeblivelse:</w:t>
      </w:r>
      <w:r w:rsidRPr="00E1642F">
        <w:rPr>
          <w:i/>
        </w:rPr>
        <w:t xml:space="preserve"> </w:t>
      </w:r>
      <w:r w:rsidRPr="00C66070">
        <w:t>Ved anden u</w:t>
      </w:r>
      <w:r>
        <w:t xml:space="preserve">deblivelse – uden rimelig grund – afsluttes </w:t>
      </w:r>
      <w:r w:rsidRPr="00C66070">
        <w:lastRenderedPageBreak/>
        <w:t>sygedagpengesag og refusion endeligt.</w:t>
      </w:r>
    </w:p>
    <w:p w:rsidR="002932A3" w:rsidRDefault="002932A3" w:rsidP="002932A3">
      <w:pPr>
        <w:rPr>
          <w:b/>
        </w:rPr>
      </w:pPr>
    </w:p>
    <w:p w:rsidR="002932A3" w:rsidRPr="0021206E" w:rsidRDefault="002932A3" w:rsidP="002932A3">
      <w:pPr>
        <w:rPr>
          <w:b/>
          <w:sz w:val="21"/>
          <w:szCs w:val="21"/>
        </w:rPr>
      </w:pPr>
      <w:r w:rsidRPr="0021206E">
        <w:rPr>
          <w:b/>
          <w:sz w:val="21"/>
          <w:szCs w:val="21"/>
        </w:rPr>
        <w:t>7. Vejlederskift (8. uge)</w:t>
      </w:r>
    </w:p>
    <w:p w:rsidR="002932A3" w:rsidRDefault="002932A3" w:rsidP="002932A3">
      <w:pPr>
        <w:rPr>
          <w:b/>
        </w:rPr>
      </w:pPr>
      <w:r>
        <w:t xml:space="preserve">Din medarbejders sag overdrages nu til Jobcenterets enhed for længerevarende </w:t>
      </w:r>
      <w:r w:rsidRPr="00E1642F">
        <w:t xml:space="preserve">sygemeldinger. </w:t>
      </w:r>
      <w:r>
        <w:t xml:space="preserve">En ny vejleder overtager sagen. </w:t>
      </w:r>
    </w:p>
    <w:p w:rsidR="002932A3" w:rsidRDefault="002932A3" w:rsidP="002932A3">
      <w:pPr>
        <w:rPr>
          <w:b/>
        </w:rPr>
      </w:pPr>
    </w:p>
    <w:p w:rsidR="002932A3" w:rsidRPr="0021206E" w:rsidRDefault="002932A3" w:rsidP="002932A3">
      <w:pPr>
        <w:rPr>
          <w:b/>
          <w:sz w:val="21"/>
          <w:szCs w:val="21"/>
        </w:rPr>
      </w:pPr>
      <w:r w:rsidRPr="0021206E">
        <w:rPr>
          <w:b/>
          <w:sz w:val="21"/>
          <w:szCs w:val="21"/>
        </w:rPr>
        <w:t xml:space="preserve">8. Bred vurdering af uarbejdsdygtighed (12. uge) </w:t>
      </w:r>
    </w:p>
    <w:p w:rsidR="002932A3" w:rsidRDefault="002932A3" w:rsidP="002932A3">
      <w:pPr>
        <w:spacing w:after="120"/>
      </w:pPr>
      <w:r>
        <w:t xml:space="preserve">Jobcenteret skal tage </w:t>
      </w:r>
      <w:r w:rsidRPr="00E1642F">
        <w:t>stilling til</w:t>
      </w:r>
      <w:r>
        <w:t>,</w:t>
      </w:r>
      <w:r w:rsidRPr="00E1642F">
        <w:t xml:space="preserve"> om medarbejderen kan varetage andre arbejdsområder end i den stilling han/hun er sygemeldt fra, eller om sygemeldingen kun gælder ift. den givne arbejdsplads (f.eks. ved dårligt psykisk arbejdsmiljø). </w:t>
      </w:r>
    </w:p>
    <w:p w:rsidR="002932A3" w:rsidRPr="00E1642F" w:rsidRDefault="002932A3" w:rsidP="002932A3">
      <w:pPr>
        <w:spacing w:after="120"/>
      </w:pPr>
      <w:r>
        <w:t>Hvis</w:t>
      </w:r>
      <w:r w:rsidRPr="00E1642F">
        <w:t xml:space="preserve"> jobcenteret vurderer, at medarbejderen kan varetage et andet arbejdsområde, vil </w:t>
      </w:r>
      <w:r>
        <w:t>vejlederen</w:t>
      </w:r>
      <w:r w:rsidRPr="00E1642F">
        <w:t xml:space="preserve"> sende dig </w:t>
      </w:r>
      <w:r>
        <w:t>en partshøring, og du kan</w:t>
      </w:r>
      <w:r w:rsidRPr="00E1642F">
        <w:t xml:space="preserve"> fremsætte bemærkninger.  </w:t>
      </w:r>
    </w:p>
    <w:p w:rsidR="002932A3" w:rsidRDefault="002932A3" w:rsidP="002932A3">
      <w:pPr>
        <w:spacing w:after="120"/>
        <w:rPr>
          <w:i/>
        </w:rPr>
      </w:pPr>
      <w:r w:rsidRPr="002131E2">
        <w:rPr>
          <w:b/>
          <w:i/>
        </w:rPr>
        <w:t>Konsekvens:</w:t>
      </w:r>
      <w:r>
        <w:rPr>
          <w:i/>
        </w:rPr>
        <w:t xml:space="preserve"> </w:t>
      </w:r>
      <w:r w:rsidRPr="002131E2">
        <w:t>Refusion stopper, hvis medarbejderen kan varetage et andet arbejdsområde.</w:t>
      </w:r>
    </w:p>
    <w:p w:rsidR="002932A3" w:rsidRPr="00E1642F" w:rsidRDefault="002932A3" w:rsidP="002932A3">
      <w:r w:rsidRPr="002131E2">
        <w:rPr>
          <w:b/>
          <w:i/>
        </w:rPr>
        <w:lastRenderedPageBreak/>
        <w:t>Relevant overvejelse:</w:t>
      </w:r>
      <w:r>
        <w:rPr>
          <w:i/>
        </w:rPr>
        <w:t xml:space="preserve"> </w:t>
      </w:r>
      <w:r w:rsidRPr="002131E2">
        <w:t xml:space="preserve"> </w:t>
      </w:r>
      <w:r>
        <w:t xml:space="preserve">Kan </w:t>
      </w:r>
      <w:r w:rsidRPr="002131E2">
        <w:t>medarbejderen omplaceres og dermed gentage arbejdet.</w:t>
      </w:r>
    </w:p>
    <w:p w:rsidR="002932A3" w:rsidRPr="00142C2D" w:rsidRDefault="002932A3" w:rsidP="002932A3">
      <w:pPr>
        <w:rPr>
          <w:i/>
          <w:color w:val="FF0000"/>
        </w:rPr>
      </w:pPr>
    </w:p>
    <w:p w:rsidR="002932A3" w:rsidRPr="0021206E" w:rsidRDefault="002932A3" w:rsidP="002932A3">
      <w:pPr>
        <w:rPr>
          <w:b/>
          <w:sz w:val="21"/>
          <w:szCs w:val="21"/>
        </w:rPr>
      </w:pPr>
      <w:r w:rsidRPr="0021206E">
        <w:rPr>
          <w:b/>
          <w:sz w:val="21"/>
          <w:szCs w:val="21"/>
        </w:rPr>
        <w:t>9. Revurdering af sygedagpengesag (22. uge)</w:t>
      </w:r>
    </w:p>
    <w:p w:rsidR="002932A3" w:rsidRDefault="002932A3" w:rsidP="002932A3">
      <w:pPr>
        <w:spacing w:after="120"/>
      </w:pPr>
      <w:r w:rsidRPr="00EB28CB">
        <w:t>Når der er udbetalt sygedagpenge/refusion i 22 uger inden fo</w:t>
      </w:r>
      <w:r>
        <w:t>r de seneste 9 måneder, skal Jobcenteret</w:t>
      </w:r>
      <w:r w:rsidRPr="00EB28CB">
        <w:t xml:space="preserve"> vurdere</w:t>
      </w:r>
      <w:r>
        <w:t xml:space="preserve"> om sygedagpengesagen</w:t>
      </w:r>
      <w:r w:rsidRPr="00EB28CB">
        <w:t xml:space="preserve"> kan forlænges</w:t>
      </w:r>
      <w:r>
        <w:t>.</w:t>
      </w:r>
      <w:r w:rsidRPr="00EB28CB">
        <w:t xml:space="preserve"> </w:t>
      </w:r>
      <w:r>
        <w:t xml:space="preserve"> </w:t>
      </w:r>
    </w:p>
    <w:p w:rsidR="002932A3" w:rsidRDefault="002932A3" w:rsidP="002932A3">
      <w:pPr>
        <w:spacing w:after="120"/>
      </w:pPr>
      <w:r>
        <w:t>Du modtager 2 uger før revurderingstidspunktet en orientering om, at revurderingen er forestående. Der er to udfald af revurderingen:</w:t>
      </w:r>
    </w:p>
    <w:p w:rsidR="002932A3" w:rsidRDefault="002932A3" w:rsidP="002932A3">
      <w:r w:rsidRPr="002131E2">
        <w:rPr>
          <w:b/>
        </w:rPr>
        <w:t>9.1</w:t>
      </w:r>
      <w:r>
        <w:t xml:space="preserve"> Sygedagpengesagen forlænges efter lovens fastsatte betingelser.</w:t>
      </w:r>
    </w:p>
    <w:p w:rsidR="002932A3" w:rsidRPr="00EB28CB" w:rsidRDefault="002932A3" w:rsidP="002932A3">
      <w:pPr>
        <w:spacing w:after="120"/>
      </w:pPr>
      <w:r w:rsidRPr="002131E2">
        <w:rPr>
          <w:b/>
          <w:i/>
        </w:rPr>
        <w:t>Konsekvens:</w:t>
      </w:r>
      <w:r w:rsidRPr="002131E2">
        <w:rPr>
          <w:i/>
        </w:rPr>
        <w:t xml:space="preserve"> </w:t>
      </w:r>
      <w:r w:rsidRPr="002131E2">
        <w:t>refusionen fortsætter som hidtil</w:t>
      </w:r>
      <w:r>
        <w:t>.</w:t>
      </w:r>
    </w:p>
    <w:p w:rsidR="002932A3" w:rsidRPr="001A33D6" w:rsidRDefault="002932A3" w:rsidP="002932A3">
      <w:r>
        <w:rPr>
          <w:b/>
        </w:rPr>
        <w:t xml:space="preserve">9.2 </w:t>
      </w:r>
      <w:r>
        <w:t>S</w:t>
      </w:r>
      <w:r w:rsidRPr="001A33D6">
        <w:t xml:space="preserve">ygedagpengesagen lukkes, hvis lovens betingelser ikke er opfyldt. Hvis medarbejderen stadig er syg oprettes, der en jobafklaringssag, og en ny vejleder overtager sagen.  </w:t>
      </w:r>
    </w:p>
    <w:p w:rsidR="002932A3" w:rsidRPr="001A33D6" w:rsidRDefault="002932A3" w:rsidP="002932A3">
      <w:r w:rsidRPr="002131E2">
        <w:rPr>
          <w:b/>
          <w:i/>
        </w:rPr>
        <w:t>Konsekvens</w:t>
      </w:r>
      <w:r w:rsidRPr="002131E2">
        <w:rPr>
          <w:i/>
        </w:rPr>
        <w:t xml:space="preserve">: </w:t>
      </w:r>
      <w:r w:rsidRPr="002131E2">
        <w:t xml:space="preserve">Refusion nedsættes. </w:t>
      </w:r>
    </w:p>
    <w:p w:rsidR="002932A3" w:rsidRPr="001A33D6" w:rsidRDefault="002932A3" w:rsidP="002932A3"/>
    <w:p w:rsidR="002932A3" w:rsidRPr="0021206E" w:rsidRDefault="002932A3" w:rsidP="002932A3">
      <w:pPr>
        <w:rPr>
          <w:b/>
          <w:sz w:val="21"/>
          <w:szCs w:val="21"/>
        </w:rPr>
      </w:pPr>
      <w:r w:rsidRPr="0021206E">
        <w:rPr>
          <w:b/>
          <w:sz w:val="21"/>
          <w:szCs w:val="21"/>
        </w:rPr>
        <w:lastRenderedPageBreak/>
        <w:t>10. Medarbejderen raskmelder sig til Jobcenteret</w:t>
      </w:r>
    </w:p>
    <w:p w:rsidR="002932A3" w:rsidRDefault="002932A3" w:rsidP="002932A3">
      <w:pPr>
        <w:spacing w:after="120"/>
      </w:pPr>
      <w:r>
        <w:t xml:space="preserve">Når datoen for medarbejderens raskmelding er kendt, sender Ydelseskontoret et brev til dig, der oplyser om, at der ydes refusion til </w:t>
      </w:r>
      <w:r w:rsidR="00D725F1">
        <w:t xml:space="preserve">denne dato. Der kan dog opstå </w:t>
      </w:r>
      <w:r>
        <w:t>udfordring</w:t>
      </w:r>
      <w:r w:rsidR="00D725F1">
        <w:t>er</w:t>
      </w:r>
      <w:r>
        <w:t xml:space="preserve">, hvis: </w:t>
      </w:r>
    </w:p>
    <w:p w:rsidR="002932A3" w:rsidRDefault="002932A3" w:rsidP="002932A3">
      <w:pPr>
        <w:spacing w:after="120"/>
      </w:pPr>
      <w:r>
        <w:t xml:space="preserve">1. Medarbejderen ikke møder på arbejde, og der udbetales løn. Her er der udelukkende tale om en sag mellem arbejdsgiver og medarbejder. </w:t>
      </w:r>
    </w:p>
    <w:p w:rsidR="002932A3" w:rsidRDefault="002932A3" w:rsidP="002932A3">
      <w:r>
        <w:t xml:space="preserve">2. Medarbejderen stadig er syg og modtager løn, men ikke kontakter Jobcenteret igen. Der kan ikke ydes refusion til virksomheden, før medarbejderen kontakter Jobcenteret, og refusionen sker kun fremadrettet. Hvis der er behov for en ny sygemelding, vil du blive kontaktet af Ydelseskontoret.  </w:t>
      </w:r>
    </w:p>
    <w:p w:rsidR="002932A3" w:rsidRDefault="002932A3" w:rsidP="002932A3"/>
    <w:p w:rsidR="002932A3" w:rsidRDefault="002932A3" w:rsidP="002932A3">
      <w:pPr>
        <w:rPr>
          <w:b/>
          <w:sz w:val="24"/>
          <w:szCs w:val="24"/>
          <w:u w:val="single"/>
        </w:rPr>
      </w:pPr>
    </w:p>
    <w:p w:rsidR="002947A9" w:rsidRDefault="002947A9" w:rsidP="002932A3">
      <w:pPr>
        <w:rPr>
          <w:b/>
          <w:sz w:val="24"/>
          <w:szCs w:val="24"/>
          <w:u w:val="single"/>
        </w:rPr>
      </w:pPr>
    </w:p>
    <w:p w:rsidR="002947A9" w:rsidRDefault="002947A9" w:rsidP="002932A3">
      <w:pPr>
        <w:rPr>
          <w:b/>
          <w:sz w:val="24"/>
          <w:szCs w:val="24"/>
          <w:u w:val="single"/>
        </w:rPr>
      </w:pPr>
    </w:p>
    <w:p w:rsidR="002947A9" w:rsidRDefault="002947A9" w:rsidP="002932A3">
      <w:pPr>
        <w:rPr>
          <w:b/>
          <w:sz w:val="24"/>
          <w:szCs w:val="24"/>
          <w:u w:val="single"/>
        </w:rPr>
      </w:pPr>
    </w:p>
    <w:p w:rsidR="002932A3" w:rsidRPr="002947A9" w:rsidRDefault="0034513B" w:rsidP="002932A3">
      <w:pPr>
        <w:rPr>
          <w:b/>
          <w:sz w:val="22"/>
          <w:u w:val="single"/>
        </w:rPr>
      </w:pPr>
      <w:r>
        <w:rPr>
          <w:b/>
          <w:sz w:val="22"/>
          <w:u w:val="single"/>
        </w:rPr>
        <w:lastRenderedPageBreak/>
        <w:t>N</w:t>
      </w:r>
      <w:r w:rsidR="002932A3" w:rsidRPr="002947A9">
        <w:rPr>
          <w:b/>
          <w:sz w:val="22"/>
          <w:u w:val="single"/>
        </w:rPr>
        <w:t>yttig information</w:t>
      </w:r>
    </w:p>
    <w:p w:rsidR="002932A3" w:rsidRDefault="002932A3" w:rsidP="002932A3">
      <w:pPr>
        <w:rPr>
          <w:b/>
        </w:rPr>
      </w:pPr>
    </w:p>
    <w:p w:rsidR="002932A3" w:rsidRPr="0021206E" w:rsidRDefault="002932A3" w:rsidP="002932A3">
      <w:pPr>
        <w:rPr>
          <w:b/>
          <w:sz w:val="21"/>
          <w:szCs w:val="21"/>
        </w:rPr>
      </w:pPr>
      <w:r w:rsidRPr="0021206E">
        <w:rPr>
          <w:b/>
          <w:sz w:val="21"/>
          <w:szCs w:val="21"/>
        </w:rPr>
        <w:t>Mulighed for aktindsigt</w:t>
      </w:r>
    </w:p>
    <w:p w:rsidR="002932A3" w:rsidRDefault="002932A3" w:rsidP="002932A3">
      <w:r w:rsidRPr="001A33D6">
        <w:t>Som arbejdsgiver er du part i din medarbejders sygedagpengesag, og du kan ved at henvende dig til Jobcenteret/vejlederen bede om aktindsigt.</w:t>
      </w:r>
    </w:p>
    <w:p w:rsidR="002932A3" w:rsidRDefault="002932A3" w:rsidP="002932A3"/>
    <w:p w:rsidR="0034513B" w:rsidRPr="0021206E" w:rsidRDefault="0034513B" w:rsidP="0034513B">
      <w:pPr>
        <w:rPr>
          <w:rFonts w:cs="Arial"/>
          <w:b/>
          <w:sz w:val="21"/>
          <w:szCs w:val="21"/>
        </w:rPr>
      </w:pPr>
      <w:r w:rsidRPr="0021206E">
        <w:rPr>
          <w:rFonts w:cs="Arial"/>
          <w:b/>
          <w:sz w:val="21"/>
          <w:szCs w:val="21"/>
        </w:rPr>
        <w:t xml:space="preserve">Arbejdsgivers forpligtelser </w:t>
      </w:r>
    </w:p>
    <w:p w:rsidR="0034513B" w:rsidRPr="009D7B70" w:rsidRDefault="0034513B" w:rsidP="0034513B">
      <w:pPr>
        <w:pStyle w:val="Listeafsnit"/>
        <w:numPr>
          <w:ilvl w:val="0"/>
          <w:numId w:val="1"/>
        </w:numPr>
        <w:spacing w:after="0"/>
        <w:rPr>
          <w:rFonts w:ascii="Arial" w:hAnsi="Arial" w:cs="Arial"/>
          <w:sz w:val="19"/>
          <w:szCs w:val="19"/>
        </w:rPr>
      </w:pPr>
      <w:r w:rsidRPr="009D7B70">
        <w:rPr>
          <w:rFonts w:ascii="Arial" w:hAnsi="Arial" w:cs="Arial"/>
          <w:sz w:val="19"/>
          <w:szCs w:val="19"/>
        </w:rPr>
        <w:t xml:space="preserve">Anmeld sygemelding via </w:t>
      </w:r>
      <w:hyperlink r:id="rId10" w:history="1">
        <w:r w:rsidRPr="00F661D2">
          <w:rPr>
            <w:rStyle w:val="Hyperlink"/>
            <w:rFonts w:ascii="Arial" w:hAnsi="Arial" w:cs="Arial"/>
            <w:sz w:val="19"/>
            <w:szCs w:val="19"/>
          </w:rPr>
          <w:t>www.nemrefusion.dk</w:t>
        </w:r>
      </w:hyperlink>
      <w:r>
        <w:rPr>
          <w:rFonts w:ascii="Arial" w:hAnsi="Arial" w:cs="Arial"/>
          <w:sz w:val="19"/>
          <w:szCs w:val="19"/>
        </w:rPr>
        <w:t xml:space="preserve"> </w:t>
      </w:r>
    </w:p>
    <w:p w:rsidR="0034513B" w:rsidRPr="009D7B70" w:rsidRDefault="0034513B" w:rsidP="0034513B">
      <w:pPr>
        <w:pStyle w:val="Listeafsnit"/>
        <w:numPr>
          <w:ilvl w:val="0"/>
          <w:numId w:val="1"/>
        </w:numPr>
        <w:spacing w:after="0"/>
        <w:rPr>
          <w:rFonts w:ascii="Arial" w:hAnsi="Arial" w:cs="Arial"/>
          <w:sz w:val="19"/>
          <w:szCs w:val="19"/>
        </w:rPr>
      </w:pPr>
      <w:r w:rsidRPr="009D7B70">
        <w:rPr>
          <w:rFonts w:ascii="Arial" w:hAnsi="Arial" w:cs="Arial"/>
          <w:sz w:val="19"/>
          <w:szCs w:val="19"/>
        </w:rPr>
        <w:t xml:space="preserve">Senest 4 uger efter første sygedag: </w:t>
      </w:r>
      <w:r w:rsidRPr="009D7B70">
        <w:rPr>
          <w:rFonts w:ascii="Arial" w:eastAsia="Times New Roman" w:hAnsi="Arial" w:cs="Arial"/>
          <w:sz w:val="19"/>
          <w:szCs w:val="19"/>
          <w:lang w:eastAsia="da-DK"/>
        </w:rPr>
        <w:t xml:space="preserve">samtale med medarbejder om, hvordan og hvornår han/hun kan vende tilbage til arbejdet. </w:t>
      </w: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34513B" w:rsidRDefault="0034513B" w:rsidP="002932A3">
      <w:pPr>
        <w:rPr>
          <w:b/>
        </w:rPr>
      </w:pPr>
    </w:p>
    <w:p w:rsidR="002932A3" w:rsidRPr="0021206E" w:rsidRDefault="002932A3" w:rsidP="002932A3">
      <w:pPr>
        <w:rPr>
          <w:b/>
          <w:color w:val="FF0000"/>
          <w:sz w:val="21"/>
          <w:szCs w:val="21"/>
        </w:rPr>
      </w:pPr>
      <w:r w:rsidRPr="0021206E">
        <w:rPr>
          <w:b/>
          <w:sz w:val="21"/>
          <w:szCs w:val="21"/>
        </w:rPr>
        <w:t>Gentagende sygefravær</w:t>
      </w:r>
    </w:p>
    <w:p w:rsidR="002932A3" w:rsidRDefault="002932A3" w:rsidP="002932A3">
      <w:pPr>
        <w:spacing w:after="120"/>
        <w:rPr>
          <w:rFonts w:cs="Arial"/>
        </w:rPr>
      </w:pPr>
      <w:r w:rsidRPr="002E79DA">
        <w:t xml:space="preserve">En sygedagpengesag skal revurderes efter 22 uger </w:t>
      </w:r>
      <w:r w:rsidRPr="00EB28CB">
        <w:t>inden fo</w:t>
      </w:r>
      <w:r>
        <w:t>r de seneste 9 måneder</w:t>
      </w:r>
      <w:r w:rsidRPr="002E79DA">
        <w:t xml:space="preserve">, men hvis </w:t>
      </w:r>
      <w:r w:rsidRPr="002E79DA">
        <w:rPr>
          <w:rFonts w:cs="Arial"/>
        </w:rPr>
        <w:t xml:space="preserve">medarbejderen har været sygemeldt i en længere periode – er rask i nogle uger – </w:t>
      </w:r>
      <w:r>
        <w:rPr>
          <w:rFonts w:cs="Arial"/>
        </w:rPr>
        <w:t xml:space="preserve">og så </w:t>
      </w:r>
      <w:r w:rsidRPr="002E79DA">
        <w:rPr>
          <w:rFonts w:cs="Arial"/>
        </w:rPr>
        <w:t xml:space="preserve">sygemeldes igen ”er der spist af de 9 måneder”. </w:t>
      </w:r>
    </w:p>
    <w:p w:rsidR="002932A3" w:rsidRDefault="002932A3" w:rsidP="002932A3">
      <w:pPr>
        <w:rPr>
          <w:rFonts w:cs="Arial"/>
        </w:rPr>
      </w:pPr>
      <w:r>
        <w:rPr>
          <w:rFonts w:cs="Arial"/>
          <w:b/>
          <w:i/>
        </w:rPr>
        <w:t xml:space="preserve">Konsekvens </w:t>
      </w:r>
      <w:r>
        <w:rPr>
          <w:rFonts w:cs="Arial"/>
        </w:rPr>
        <w:t>D</w:t>
      </w:r>
      <w:r w:rsidRPr="002E79DA">
        <w:rPr>
          <w:rFonts w:cs="Arial"/>
        </w:rPr>
        <w:t xml:space="preserve">er er mindre tid til opfølgning på </w:t>
      </w:r>
      <w:r>
        <w:rPr>
          <w:rFonts w:cs="Arial"/>
        </w:rPr>
        <w:t xml:space="preserve">den </w:t>
      </w:r>
      <w:r w:rsidRPr="002E79DA">
        <w:rPr>
          <w:rFonts w:cs="Arial"/>
        </w:rPr>
        <w:t>ny</w:t>
      </w:r>
      <w:r>
        <w:rPr>
          <w:rFonts w:cs="Arial"/>
        </w:rPr>
        <w:t xml:space="preserve">e sygemelding, og hvis hele perioden på de 9 måneder er brugt, vil refusionen til arbejdsgiver være lavere, da medarbejdere også vil modtage en lavere ydelse.  </w:t>
      </w:r>
    </w:p>
    <w:p w:rsidR="002932A3" w:rsidRPr="00E1642F" w:rsidRDefault="002932A3" w:rsidP="002932A3">
      <w:pPr>
        <w:spacing w:after="120"/>
      </w:pPr>
    </w:p>
    <w:p w:rsidR="00FA2F93" w:rsidRDefault="00FA2F93" w:rsidP="002932A3">
      <w:pPr>
        <w:rPr>
          <w:rFonts w:cs="Arial"/>
          <w:b/>
        </w:rPr>
      </w:pPr>
    </w:p>
    <w:p w:rsidR="002947A9" w:rsidRDefault="002947A9" w:rsidP="002932A3">
      <w:pPr>
        <w:rPr>
          <w:rFonts w:cs="Arial"/>
          <w:b/>
        </w:rPr>
      </w:pPr>
    </w:p>
    <w:p w:rsidR="002947A9" w:rsidRDefault="002947A9" w:rsidP="002932A3">
      <w:pPr>
        <w:rPr>
          <w:rFonts w:cs="Arial"/>
          <w:b/>
        </w:rPr>
      </w:pPr>
    </w:p>
    <w:p w:rsidR="002947A9" w:rsidRDefault="002947A9" w:rsidP="002932A3">
      <w:pPr>
        <w:rPr>
          <w:rFonts w:cs="Arial"/>
          <w:b/>
        </w:rPr>
      </w:pPr>
    </w:p>
    <w:p w:rsidR="002947A9" w:rsidRDefault="002947A9" w:rsidP="002932A3">
      <w:pPr>
        <w:rPr>
          <w:rFonts w:cs="Arial"/>
          <w:b/>
        </w:rPr>
      </w:pPr>
    </w:p>
    <w:p w:rsidR="002947A9" w:rsidRDefault="002947A9" w:rsidP="002932A3">
      <w:pPr>
        <w:rPr>
          <w:rFonts w:cs="Arial"/>
          <w:b/>
        </w:rPr>
      </w:pPr>
    </w:p>
    <w:p w:rsidR="002932A3" w:rsidRDefault="002932A3" w:rsidP="002932A3">
      <w:pPr>
        <w:rPr>
          <w:rFonts w:cs="Arial"/>
          <w:b/>
        </w:rPr>
      </w:pPr>
    </w:p>
    <w:p w:rsidR="00011AA7" w:rsidRDefault="00F851A2" w:rsidP="002947A9">
      <w:pPr>
        <w:spacing w:after="200"/>
      </w:pPr>
      <w:r w:rsidRPr="002932A3">
        <w:br w:type="page"/>
      </w:r>
    </w:p>
    <w:p w:rsidR="0034513B" w:rsidRPr="0034513B" w:rsidRDefault="0034513B" w:rsidP="0034513B">
      <w:pPr>
        <w:rPr>
          <w:rFonts w:cs="Arial"/>
          <w:b/>
          <w:sz w:val="22"/>
          <w:u w:val="single"/>
        </w:rPr>
      </w:pPr>
      <w:r w:rsidRPr="0034513B">
        <w:rPr>
          <w:rFonts w:cs="Arial"/>
          <w:b/>
          <w:sz w:val="22"/>
          <w:u w:val="single"/>
        </w:rPr>
        <w:lastRenderedPageBreak/>
        <w:t>Relevante hjemmesider</w:t>
      </w:r>
    </w:p>
    <w:p w:rsidR="0034513B" w:rsidRDefault="0034513B" w:rsidP="0034513B">
      <w:pPr>
        <w:rPr>
          <w:rFonts w:cs="Arial"/>
        </w:rPr>
      </w:pPr>
    </w:p>
    <w:p w:rsidR="0034513B" w:rsidRPr="0058219D" w:rsidRDefault="0034513B" w:rsidP="0034513B">
      <w:pPr>
        <w:rPr>
          <w:rFonts w:cs="Arial"/>
          <w:b/>
        </w:rPr>
      </w:pPr>
      <w:r w:rsidRPr="0058219D">
        <w:rPr>
          <w:rFonts w:cs="Arial"/>
          <w:b/>
        </w:rPr>
        <w:t>Viden, værktøjer og rådgivning</w:t>
      </w:r>
    </w:p>
    <w:p w:rsidR="0058219D" w:rsidRDefault="003C2D02" w:rsidP="0034513B">
      <w:pPr>
        <w:rPr>
          <w:rFonts w:cs="Arial"/>
        </w:rPr>
      </w:pPr>
      <w:hyperlink r:id="rId11" w:history="1">
        <w:r w:rsidR="0034513B" w:rsidRPr="00456006">
          <w:rPr>
            <w:rStyle w:val="Hyperlink"/>
            <w:rFonts w:cs="Arial"/>
          </w:rPr>
          <w:t>www.cabiweb.dk</w:t>
        </w:r>
      </w:hyperlink>
      <w:r w:rsidR="0034513B">
        <w:rPr>
          <w:rFonts w:cs="Arial"/>
        </w:rPr>
        <w:t xml:space="preserve"> </w:t>
      </w:r>
    </w:p>
    <w:p w:rsidR="0034513B" w:rsidRPr="00FB4033" w:rsidRDefault="0034513B" w:rsidP="0034513B">
      <w:pPr>
        <w:rPr>
          <w:rFonts w:cs="Arial"/>
        </w:rPr>
      </w:pPr>
      <w:r>
        <w:rPr>
          <w:rFonts w:cs="Arial"/>
        </w:rPr>
        <w:t>Søg f.eks. ’Sygedagpengereform’</w:t>
      </w:r>
    </w:p>
    <w:p w:rsidR="0034513B" w:rsidRDefault="0034513B" w:rsidP="0034513B">
      <w:pPr>
        <w:rPr>
          <w:rFonts w:cs="Arial"/>
        </w:rPr>
      </w:pPr>
    </w:p>
    <w:p w:rsidR="0058219D" w:rsidRDefault="0058219D" w:rsidP="0034513B">
      <w:pPr>
        <w:rPr>
          <w:rFonts w:cs="Arial"/>
          <w:b/>
        </w:rPr>
      </w:pPr>
    </w:p>
    <w:p w:rsidR="0034513B" w:rsidRPr="0058219D" w:rsidRDefault="0034513B" w:rsidP="0034513B">
      <w:pPr>
        <w:rPr>
          <w:rFonts w:cs="Arial"/>
          <w:b/>
        </w:rPr>
      </w:pPr>
      <w:proofErr w:type="spellStart"/>
      <w:r w:rsidRPr="0058219D">
        <w:rPr>
          <w:rFonts w:cs="Arial"/>
          <w:b/>
        </w:rPr>
        <w:t>Videncenter</w:t>
      </w:r>
      <w:proofErr w:type="spellEnd"/>
      <w:r w:rsidRPr="0058219D">
        <w:rPr>
          <w:rFonts w:cs="Arial"/>
          <w:b/>
        </w:rPr>
        <w:t xml:space="preserve"> for arbejdsmiljø</w:t>
      </w:r>
    </w:p>
    <w:p w:rsidR="0058219D" w:rsidRDefault="003C2D02" w:rsidP="0034513B">
      <w:pPr>
        <w:rPr>
          <w:rFonts w:cs="Arial"/>
        </w:rPr>
      </w:pPr>
      <w:hyperlink r:id="rId12" w:history="1">
        <w:r w:rsidR="0034513B" w:rsidRPr="00456006">
          <w:rPr>
            <w:rStyle w:val="Hyperlink"/>
            <w:rFonts w:cs="Arial"/>
          </w:rPr>
          <w:t>www.arbejdsmiljoviden.dk</w:t>
        </w:r>
      </w:hyperlink>
      <w:r w:rsidR="0034513B">
        <w:rPr>
          <w:rFonts w:cs="Arial"/>
        </w:rPr>
        <w:t xml:space="preserve"> </w:t>
      </w:r>
    </w:p>
    <w:p w:rsidR="0034513B" w:rsidRDefault="0034513B" w:rsidP="0034513B">
      <w:pPr>
        <w:rPr>
          <w:rFonts w:cs="Arial"/>
        </w:rPr>
      </w:pPr>
      <w:r>
        <w:rPr>
          <w:rFonts w:cs="Arial"/>
        </w:rPr>
        <w:t>Søg f.eks. ’Fastholdelse’</w:t>
      </w:r>
    </w:p>
    <w:p w:rsidR="0034513B" w:rsidRPr="0058219D" w:rsidRDefault="0034513B" w:rsidP="0034513B">
      <w:pPr>
        <w:rPr>
          <w:rFonts w:cs="Arial"/>
          <w:b/>
        </w:rPr>
      </w:pPr>
    </w:p>
    <w:p w:rsidR="0058219D" w:rsidRDefault="0058219D" w:rsidP="0034513B">
      <w:pPr>
        <w:rPr>
          <w:rFonts w:cs="Arial"/>
          <w:b/>
        </w:rPr>
      </w:pPr>
    </w:p>
    <w:p w:rsidR="0034513B" w:rsidRPr="0058219D" w:rsidRDefault="0034513B" w:rsidP="0034513B">
      <w:pPr>
        <w:rPr>
          <w:rFonts w:cs="Arial"/>
          <w:b/>
        </w:rPr>
      </w:pPr>
      <w:r w:rsidRPr="0058219D">
        <w:rPr>
          <w:rFonts w:cs="Arial"/>
          <w:b/>
        </w:rPr>
        <w:t xml:space="preserve">Forebyggelsesfonden </w:t>
      </w:r>
    </w:p>
    <w:p w:rsidR="0058219D" w:rsidRDefault="003C2D02" w:rsidP="0034513B">
      <w:pPr>
        <w:rPr>
          <w:rFonts w:cs="Arial"/>
        </w:rPr>
      </w:pPr>
      <w:hyperlink r:id="rId13" w:history="1">
        <w:r w:rsidR="0034513B" w:rsidRPr="00F661D2">
          <w:rPr>
            <w:rStyle w:val="Hyperlink"/>
            <w:rFonts w:cs="Arial"/>
          </w:rPr>
          <w:t>www.forebyggelsesfonden.dk</w:t>
        </w:r>
      </w:hyperlink>
      <w:r w:rsidR="0034513B">
        <w:rPr>
          <w:rFonts w:cs="Arial"/>
        </w:rPr>
        <w:t xml:space="preserve"> </w:t>
      </w:r>
    </w:p>
    <w:p w:rsidR="0034513B" w:rsidRDefault="0034513B" w:rsidP="0034513B">
      <w:pPr>
        <w:rPr>
          <w:rFonts w:cs="Arial"/>
        </w:rPr>
      </w:pPr>
      <w:r>
        <w:rPr>
          <w:rFonts w:cs="Arial"/>
        </w:rPr>
        <w:t>Klik på ’</w:t>
      </w:r>
      <w:proofErr w:type="spellStart"/>
      <w:r>
        <w:rPr>
          <w:rFonts w:cs="Arial"/>
        </w:rPr>
        <w:t>Vidensunivers</w:t>
      </w:r>
      <w:proofErr w:type="spellEnd"/>
      <w:r>
        <w:rPr>
          <w:rFonts w:cs="Arial"/>
        </w:rPr>
        <w:t>’ for inspiration</w:t>
      </w:r>
    </w:p>
    <w:p w:rsidR="0034513B" w:rsidRDefault="0034513B" w:rsidP="0034513B">
      <w:pPr>
        <w:rPr>
          <w:rFonts w:cs="Arial"/>
        </w:rPr>
      </w:pPr>
    </w:p>
    <w:p w:rsidR="0058219D" w:rsidRDefault="0058219D" w:rsidP="0034513B">
      <w:pPr>
        <w:rPr>
          <w:rFonts w:cs="Arial"/>
          <w:b/>
        </w:rPr>
      </w:pPr>
    </w:p>
    <w:p w:rsidR="0034513B" w:rsidRPr="0058219D" w:rsidRDefault="0034513B" w:rsidP="0034513B">
      <w:pPr>
        <w:rPr>
          <w:rFonts w:cs="Arial"/>
          <w:b/>
        </w:rPr>
      </w:pPr>
      <w:r w:rsidRPr="0058219D">
        <w:rPr>
          <w:rFonts w:cs="Arial"/>
          <w:b/>
        </w:rPr>
        <w:t>Vordingborg Kommune</w:t>
      </w:r>
    </w:p>
    <w:p w:rsidR="0058219D" w:rsidRDefault="003C2D02" w:rsidP="0034513B">
      <w:pPr>
        <w:rPr>
          <w:rFonts w:cs="Arial"/>
        </w:rPr>
      </w:pPr>
      <w:hyperlink r:id="rId14" w:history="1">
        <w:r w:rsidR="0034513B" w:rsidRPr="00456006">
          <w:rPr>
            <w:rStyle w:val="Hyperlink"/>
            <w:rFonts w:cs="Arial"/>
          </w:rPr>
          <w:t>www.vordingborg.dk</w:t>
        </w:r>
      </w:hyperlink>
      <w:r w:rsidR="0034513B">
        <w:rPr>
          <w:rFonts w:cs="Arial"/>
        </w:rPr>
        <w:t xml:space="preserve"> </w:t>
      </w:r>
    </w:p>
    <w:p w:rsidR="0034513B" w:rsidRDefault="0034513B" w:rsidP="0034513B">
      <w:pPr>
        <w:rPr>
          <w:rFonts w:cs="Arial"/>
        </w:rPr>
      </w:pPr>
      <w:r>
        <w:rPr>
          <w:rFonts w:cs="Arial"/>
        </w:rPr>
        <w:t xml:space="preserve">Søg f.eks. ’Fast </w:t>
      </w:r>
      <w:proofErr w:type="spellStart"/>
      <w:r>
        <w:rPr>
          <w:rFonts w:cs="Arial"/>
        </w:rPr>
        <w:t>track</w:t>
      </w:r>
      <w:proofErr w:type="spellEnd"/>
      <w:r>
        <w:rPr>
          <w:rFonts w:cs="Arial"/>
        </w:rPr>
        <w:t>’</w:t>
      </w: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34513B" w:rsidRDefault="0034513B">
      <w:pPr>
        <w:spacing w:after="200"/>
        <w:rPr>
          <w:b/>
          <w:sz w:val="22"/>
          <w:u w:val="single"/>
        </w:rPr>
      </w:pPr>
    </w:p>
    <w:p w:rsidR="0021206E" w:rsidRDefault="0021206E">
      <w:pPr>
        <w:spacing w:after="200"/>
        <w:rPr>
          <w:b/>
          <w:sz w:val="22"/>
          <w:u w:val="single"/>
        </w:rPr>
      </w:pPr>
    </w:p>
    <w:p w:rsidR="00F851A2" w:rsidRDefault="00FA2F93">
      <w:pPr>
        <w:spacing w:after="200"/>
        <w:rPr>
          <w:b/>
          <w:sz w:val="22"/>
          <w:u w:val="single"/>
        </w:rPr>
      </w:pPr>
      <w:r w:rsidRPr="00FA2F93">
        <w:rPr>
          <w:b/>
          <w:sz w:val="22"/>
          <w:u w:val="single"/>
        </w:rPr>
        <w:lastRenderedPageBreak/>
        <w:t>Egne noter</w:t>
      </w:r>
    </w:p>
    <w:p w:rsidR="00FA2F93" w:rsidRPr="00FA2F93" w:rsidRDefault="00FA2F93">
      <w:pPr>
        <w:spacing w:after="200"/>
        <w:rPr>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AD5CFE" w:rsidRDefault="00AD5CFE" w:rsidP="00AD5CFE">
      <w:pPr>
        <w:pBdr>
          <w:top w:val="single" w:sz="4" w:space="1" w:color="auto"/>
          <w:between w:val="single" w:sz="4" w:space="1" w:color="auto"/>
        </w:pBdr>
        <w:spacing w:after="200"/>
        <w:rPr>
          <w:b/>
          <w:sz w:val="22"/>
          <w:u w:val="single"/>
        </w:rPr>
      </w:pPr>
    </w:p>
    <w:p w:rsidR="00FA2F93" w:rsidRPr="00FA2F93" w:rsidRDefault="00FA2F93">
      <w:pPr>
        <w:spacing w:after="200"/>
        <w:rPr>
          <w:b/>
          <w:sz w:val="22"/>
          <w:u w:val="single"/>
        </w:rPr>
        <w:sectPr w:rsidR="00FA2F93" w:rsidRPr="00FA2F93" w:rsidSect="002932A3">
          <w:headerReference w:type="even" r:id="rId15"/>
          <w:headerReference w:type="default" r:id="rId16"/>
          <w:headerReference w:type="first" r:id="rId17"/>
          <w:pgSz w:w="8419" w:h="11906" w:orient="landscape" w:code="9"/>
          <w:pgMar w:top="3578" w:right="737" w:bottom="737" w:left="737" w:header="425" w:footer="550" w:gutter="0"/>
          <w:cols w:num="2" w:space="708"/>
          <w:titlePg/>
          <w:docGrid w:linePitch="360"/>
        </w:sectPr>
      </w:pPr>
    </w:p>
    <w:p w:rsidR="002E69FD" w:rsidRPr="002932A3" w:rsidRDefault="002E69FD" w:rsidP="00A87D45">
      <w:pPr>
        <w:spacing w:after="200"/>
      </w:pPr>
    </w:p>
    <w:tbl>
      <w:tblPr>
        <w:tblpPr w:vertAnchor="page" w:horzAnchor="page" w:tblpX="738" w:tblpY="9583"/>
        <w:tblOverlap w:val="never"/>
        <w:tblW w:w="0" w:type="auto"/>
        <w:tblLayout w:type="fixed"/>
        <w:tblCellMar>
          <w:left w:w="0" w:type="dxa"/>
          <w:right w:w="0" w:type="dxa"/>
        </w:tblCellMar>
        <w:tblLook w:val="0000" w:firstRow="0" w:lastRow="0" w:firstColumn="0" w:lastColumn="0" w:noHBand="0" w:noVBand="0"/>
      </w:tblPr>
      <w:tblGrid>
        <w:gridCol w:w="2098"/>
      </w:tblGrid>
      <w:tr w:rsidR="002E69FD" w:rsidRPr="002932A3" w:rsidTr="00B567DE">
        <w:trPr>
          <w:trHeight w:val="1588"/>
        </w:trPr>
        <w:tc>
          <w:tcPr>
            <w:tcW w:w="2098" w:type="dxa"/>
            <w:vAlign w:val="bottom"/>
          </w:tcPr>
          <w:p w:rsidR="00DC61C6" w:rsidRDefault="00DC61C6" w:rsidP="002932A3">
            <w:pPr>
              <w:pStyle w:val="Afsendertekst"/>
              <w:rPr>
                <w:rFonts w:cs="Arial"/>
                <w:b/>
                <w:color w:val="FFFFFF"/>
              </w:rPr>
            </w:pPr>
          </w:p>
          <w:p w:rsidR="00DC61C6" w:rsidRDefault="00DC61C6" w:rsidP="002932A3">
            <w:pPr>
              <w:pStyle w:val="Afsendertekst"/>
              <w:rPr>
                <w:rFonts w:cs="Arial"/>
                <w:b/>
                <w:color w:val="FFFFFF"/>
              </w:rPr>
            </w:pPr>
          </w:p>
          <w:p w:rsidR="002932A3" w:rsidRPr="002932A3" w:rsidRDefault="00DC61C6" w:rsidP="002932A3">
            <w:pPr>
              <w:pStyle w:val="Afsendertekst"/>
              <w:rPr>
                <w:rFonts w:cs="Arial"/>
              </w:rPr>
            </w:pPr>
            <w:r>
              <w:rPr>
                <w:rFonts w:cs="Arial"/>
                <w:b/>
                <w:color w:val="FFFFFF"/>
              </w:rPr>
              <w:t xml:space="preserve">Kontakt: </w:t>
            </w:r>
          </w:p>
          <w:p w:rsidR="002932A3" w:rsidRPr="002932A3" w:rsidRDefault="00DC61C6" w:rsidP="002932A3">
            <w:pPr>
              <w:pStyle w:val="Afsendertekst"/>
              <w:rPr>
                <w:rFonts w:cs="Arial"/>
              </w:rPr>
            </w:pPr>
            <w:r>
              <w:rPr>
                <w:rFonts w:cs="Arial"/>
                <w:color w:val="FFFFFF"/>
              </w:rPr>
              <w:t>Susanne Birksteen</w:t>
            </w:r>
          </w:p>
          <w:p w:rsidR="00C01707" w:rsidRPr="0072002F" w:rsidRDefault="00DC61C6" w:rsidP="002932A3">
            <w:pPr>
              <w:pStyle w:val="Afsendertekst"/>
              <w:rPr>
                <w:rFonts w:cs="Arial"/>
              </w:rPr>
            </w:pPr>
            <w:r>
              <w:rPr>
                <w:rFonts w:cs="Arial"/>
                <w:color w:val="FFFFFF"/>
              </w:rPr>
              <w:t>Fastholdelseskonsulent i Jobcenter Vordingborg</w:t>
            </w:r>
          </w:p>
        </w:tc>
      </w:tr>
    </w:tbl>
    <w:tbl>
      <w:tblPr>
        <w:tblpPr w:vertAnchor="page" w:horzAnchor="page" w:tblpX="3120" w:tblpY="9583"/>
        <w:tblOverlap w:val="never"/>
        <w:tblW w:w="0" w:type="auto"/>
        <w:tblLayout w:type="fixed"/>
        <w:tblCellMar>
          <w:left w:w="0" w:type="dxa"/>
          <w:right w:w="0" w:type="dxa"/>
        </w:tblCellMar>
        <w:tblLook w:val="0000" w:firstRow="0" w:lastRow="0" w:firstColumn="0" w:lastColumn="0" w:noHBand="0" w:noVBand="0"/>
      </w:tblPr>
      <w:tblGrid>
        <w:gridCol w:w="3969"/>
      </w:tblGrid>
      <w:tr w:rsidR="002E69FD" w:rsidRPr="002932A3" w:rsidTr="00B567DE">
        <w:trPr>
          <w:trHeight w:val="1588"/>
        </w:trPr>
        <w:tc>
          <w:tcPr>
            <w:tcW w:w="3969" w:type="dxa"/>
            <w:vAlign w:val="bottom"/>
          </w:tcPr>
          <w:p w:rsidR="002932A3" w:rsidRPr="002932A3" w:rsidRDefault="00DC61C6" w:rsidP="002932A3">
            <w:pPr>
              <w:pStyle w:val="Afsendertekst"/>
              <w:rPr>
                <w:rFonts w:cs="Arial"/>
              </w:rPr>
            </w:pPr>
            <w:r>
              <w:rPr>
                <w:rFonts w:cs="Arial"/>
                <w:color w:val="FFFFFF"/>
              </w:rPr>
              <w:t>20 54 22 65</w:t>
            </w:r>
          </w:p>
          <w:p w:rsidR="00F851A2" w:rsidRPr="002932A3" w:rsidRDefault="00DC61C6" w:rsidP="002932A3">
            <w:pPr>
              <w:pStyle w:val="Afsendertekst"/>
            </w:pPr>
            <w:r>
              <w:rPr>
                <w:rFonts w:cs="Arial"/>
                <w:color w:val="FFFFFF"/>
              </w:rPr>
              <w:t>birk@</w:t>
            </w:r>
            <w:r w:rsidR="002932A3" w:rsidRPr="002932A3">
              <w:rPr>
                <w:rFonts w:cs="Arial"/>
                <w:color w:val="FFFFFF"/>
              </w:rPr>
              <w:t>vordingborg.dk</w:t>
            </w:r>
          </w:p>
        </w:tc>
      </w:tr>
    </w:tbl>
    <w:tbl>
      <w:tblPr>
        <w:tblpPr w:leftFromText="141" w:rightFromText="141" w:vertAnchor="page" w:horzAnchor="page" w:tblpX="738" w:tblpY="4706"/>
        <w:tblOverlap w:val="never"/>
        <w:tblW w:w="0" w:type="auto"/>
        <w:tblLayout w:type="fixed"/>
        <w:tblCellMar>
          <w:left w:w="0" w:type="dxa"/>
          <w:right w:w="0" w:type="dxa"/>
        </w:tblCellMar>
        <w:tblLook w:val="0000" w:firstRow="0" w:lastRow="0" w:firstColumn="0" w:lastColumn="0" w:noHBand="0" w:noVBand="0"/>
      </w:tblPr>
      <w:tblGrid>
        <w:gridCol w:w="6350"/>
      </w:tblGrid>
      <w:tr w:rsidR="00C01707" w:rsidRPr="002932A3" w:rsidTr="002932A3">
        <w:trPr>
          <w:trHeight w:val="1134"/>
        </w:trPr>
        <w:tc>
          <w:tcPr>
            <w:tcW w:w="6350" w:type="dxa"/>
          </w:tcPr>
          <w:p w:rsidR="00B321C1" w:rsidRPr="00B321C1" w:rsidRDefault="000968FB" w:rsidP="002947A9">
            <w:pPr>
              <w:pStyle w:val="Normalhvid"/>
              <w:rPr>
                <w:rFonts w:cs="Arial"/>
                <w:sz w:val="36"/>
                <w:szCs w:val="36"/>
              </w:rPr>
            </w:pPr>
            <w:r>
              <w:rPr>
                <w:rFonts w:cs="Arial"/>
                <w:sz w:val="36"/>
                <w:szCs w:val="36"/>
              </w:rPr>
              <w:t>Brochuren giver dig viden om</w:t>
            </w:r>
          </w:p>
          <w:p w:rsidR="000968FB" w:rsidRDefault="00B321C1" w:rsidP="000968FB">
            <w:pPr>
              <w:pStyle w:val="Normalhvid"/>
              <w:numPr>
                <w:ilvl w:val="0"/>
                <w:numId w:val="2"/>
              </w:numPr>
              <w:rPr>
                <w:rFonts w:cs="Arial"/>
                <w:sz w:val="28"/>
                <w:szCs w:val="28"/>
              </w:rPr>
            </w:pPr>
            <w:r w:rsidRPr="000968FB">
              <w:rPr>
                <w:rFonts w:cs="Arial"/>
                <w:sz w:val="28"/>
                <w:szCs w:val="28"/>
              </w:rPr>
              <w:t>Forløbet, n</w:t>
            </w:r>
            <w:r w:rsidR="00A309D3">
              <w:rPr>
                <w:rFonts w:cs="Arial"/>
                <w:sz w:val="28"/>
                <w:szCs w:val="28"/>
              </w:rPr>
              <w:t>år en medarbejder sygemeldes</w:t>
            </w:r>
            <w:r w:rsidRPr="000968FB">
              <w:rPr>
                <w:rFonts w:cs="Arial"/>
                <w:sz w:val="28"/>
                <w:szCs w:val="28"/>
              </w:rPr>
              <w:t xml:space="preserve">. </w:t>
            </w:r>
          </w:p>
          <w:p w:rsidR="000968FB" w:rsidRDefault="000968FB" w:rsidP="00B321C1">
            <w:pPr>
              <w:pStyle w:val="Normalhvid"/>
              <w:numPr>
                <w:ilvl w:val="0"/>
                <w:numId w:val="2"/>
              </w:numPr>
              <w:rPr>
                <w:rFonts w:cs="Arial"/>
                <w:sz w:val="28"/>
                <w:szCs w:val="28"/>
              </w:rPr>
            </w:pPr>
            <w:r>
              <w:rPr>
                <w:rFonts w:cs="Arial"/>
                <w:sz w:val="28"/>
                <w:szCs w:val="28"/>
              </w:rPr>
              <w:t>H</w:t>
            </w:r>
            <w:r w:rsidR="00B321C1" w:rsidRPr="000968FB">
              <w:rPr>
                <w:rFonts w:cs="Arial"/>
                <w:sz w:val="28"/>
                <w:szCs w:val="28"/>
              </w:rPr>
              <w:t>vordan arbejdspladsen kan støtte op om</w:t>
            </w:r>
            <w:r w:rsidR="0058219D">
              <w:rPr>
                <w:rFonts w:cs="Arial"/>
                <w:sz w:val="28"/>
                <w:szCs w:val="28"/>
              </w:rPr>
              <w:t>,</w:t>
            </w:r>
            <w:r w:rsidR="00B321C1" w:rsidRPr="000968FB">
              <w:rPr>
                <w:rFonts w:cs="Arial"/>
                <w:sz w:val="28"/>
                <w:szCs w:val="28"/>
              </w:rPr>
              <w:t xml:space="preserve"> at medarbejderen hurtigst muligt kommer på arbejde igen. </w:t>
            </w:r>
          </w:p>
          <w:p w:rsidR="00C01707" w:rsidRPr="000968FB" w:rsidRDefault="000968FB" w:rsidP="00B321C1">
            <w:pPr>
              <w:pStyle w:val="Normalhvid"/>
              <w:numPr>
                <w:ilvl w:val="0"/>
                <w:numId w:val="2"/>
              </w:numPr>
              <w:rPr>
                <w:rFonts w:cs="Arial"/>
                <w:sz w:val="28"/>
                <w:szCs w:val="28"/>
              </w:rPr>
            </w:pPr>
            <w:r>
              <w:rPr>
                <w:rFonts w:cs="Arial"/>
                <w:sz w:val="28"/>
                <w:szCs w:val="28"/>
              </w:rPr>
              <w:t>H</w:t>
            </w:r>
            <w:r w:rsidR="00B321C1" w:rsidRPr="000968FB">
              <w:rPr>
                <w:rFonts w:cs="Arial"/>
                <w:sz w:val="28"/>
                <w:szCs w:val="28"/>
              </w:rPr>
              <w:t xml:space="preserve">vornår en længerevarende sygemelding kan få økonomiske konsekvenser for </w:t>
            </w:r>
            <w:r w:rsidRPr="000968FB">
              <w:rPr>
                <w:rFonts w:cs="Arial"/>
                <w:sz w:val="28"/>
                <w:szCs w:val="28"/>
              </w:rPr>
              <w:t>arbejdspladsen</w:t>
            </w:r>
            <w:r w:rsidRPr="000968FB">
              <w:rPr>
                <w:rFonts w:cs="Arial"/>
              </w:rPr>
              <w:t xml:space="preserve">. </w:t>
            </w:r>
          </w:p>
        </w:tc>
      </w:tr>
    </w:tbl>
    <w:p w:rsidR="00004830" w:rsidRPr="002932A3" w:rsidRDefault="00004830" w:rsidP="00A87D45">
      <w:pPr>
        <w:spacing w:after="200"/>
      </w:pPr>
    </w:p>
    <w:sectPr w:rsidR="00004830" w:rsidRPr="002932A3" w:rsidSect="00882A87">
      <w:headerReference w:type="first" r:id="rId18"/>
      <w:pgSz w:w="8419" w:h="11906" w:orient="landscape" w:code="9"/>
      <w:pgMar w:top="567" w:right="567" w:bottom="567" w:left="567" w:header="425"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2A3" w:rsidRPr="002932A3" w:rsidRDefault="002932A3" w:rsidP="00291C7F">
      <w:pPr>
        <w:spacing w:line="240" w:lineRule="auto"/>
      </w:pPr>
      <w:r w:rsidRPr="002932A3">
        <w:separator/>
      </w:r>
    </w:p>
    <w:p w:rsidR="002932A3" w:rsidRPr="002932A3" w:rsidRDefault="002932A3"/>
  </w:endnote>
  <w:endnote w:type="continuationSeparator" w:id="0">
    <w:p w:rsidR="002932A3" w:rsidRPr="002932A3" w:rsidRDefault="002932A3" w:rsidP="00291C7F">
      <w:pPr>
        <w:spacing w:line="240" w:lineRule="auto"/>
      </w:pPr>
      <w:r w:rsidRPr="002932A3">
        <w:continuationSeparator/>
      </w:r>
    </w:p>
    <w:p w:rsidR="002932A3" w:rsidRPr="002932A3" w:rsidRDefault="00293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2A3" w:rsidRPr="002932A3" w:rsidRDefault="002932A3" w:rsidP="00291C7F">
      <w:pPr>
        <w:spacing w:line="240" w:lineRule="auto"/>
      </w:pPr>
      <w:r w:rsidRPr="002932A3">
        <w:separator/>
      </w:r>
    </w:p>
    <w:p w:rsidR="002932A3" w:rsidRPr="002932A3" w:rsidRDefault="002932A3"/>
  </w:footnote>
  <w:footnote w:type="continuationSeparator" w:id="0">
    <w:p w:rsidR="002932A3" w:rsidRPr="002932A3" w:rsidRDefault="002932A3" w:rsidP="00291C7F">
      <w:pPr>
        <w:spacing w:line="240" w:lineRule="auto"/>
      </w:pPr>
      <w:r w:rsidRPr="002932A3">
        <w:continuationSeparator/>
      </w:r>
    </w:p>
    <w:p w:rsidR="002932A3" w:rsidRPr="002932A3" w:rsidRDefault="002932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rPr>
        <w:sz w:val="28"/>
      </w:rPr>
    </w:pPr>
  </w:p>
  <w:p w:rsidR="00E93C5B" w:rsidRPr="002932A3" w:rsidRDefault="00E93C5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738" w:tblpY="3630"/>
      <w:tblOverlap w:val="never"/>
      <w:tblW w:w="0" w:type="auto"/>
      <w:tblLayout w:type="fixed"/>
      <w:tblCellMar>
        <w:left w:w="0" w:type="dxa"/>
        <w:right w:w="0" w:type="dxa"/>
      </w:tblCellMar>
      <w:tblLook w:val="0000" w:firstRow="0" w:lastRow="0" w:firstColumn="0" w:lastColumn="0" w:noHBand="0" w:noVBand="0"/>
    </w:tblPr>
    <w:tblGrid>
      <w:gridCol w:w="6945"/>
    </w:tblGrid>
    <w:tr w:rsidR="00E93C5B" w:rsidRPr="002932A3" w:rsidTr="00E93C5B">
      <w:trPr>
        <w:trHeight w:val="340"/>
        <w:hidden/>
      </w:trPr>
      <w:tc>
        <w:tcPr>
          <w:tcW w:w="6945" w:type="dxa"/>
          <w:vAlign w:val="bottom"/>
        </w:tcPr>
        <w:p w:rsidR="00E93C5B" w:rsidRPr="002932A3" w:rsidRDefault="00E93C5B" w:rsidP="00E93C5B">
          <w:pPr>
            <w:pStyle w:val="Billedetekst"/>
            <w:rPr>
              <w:vanish/>
            </w:rPr>
          </w:pPr>
          <w:bookmarkStart w:id="1" w:name="bmkPhotoCaption"/>
          <w:r w:rsidRPr="002932A3">
            <w:rPr>
              <w:vanish/>
            </w:rPr>
            <w:t>&lt;Billedtekst&gt;</w:t>
          </w:r>
          <w:bookmarkEnd w:id="1"/>
        </w:p>
      </w:tc>
    </w:tr>
  </w:tbl>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pPr>
  </w:p>
  <w:p w:rsidR="00E93C5B" w:rsidRPr="002932A3" w:rsidRDefault="00E93C5B">
    <w:pPr>
      <w:pStyle w:val="Sidehoved"/>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Spec="right" w:tblpY="22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4A0"/>
      <w:tblLook w:val="04A0" w:firstRow="1" w:lastRow="0" w:firstColumn="1" w:lastColumn="0" w:noHBand="0" w:noVBand="1"/>
    </w:tblPr>
    <w:tblGrid>
      <w:gridCol w:w="737"/>
    </w:tblGrid>
    <w:tr w:rsidR="00E93C5B" w:rsidRPr="002932A3" w:rsidTr="002932A3">
      <w:trPr>
        <w:cantSplit/>
        <w:trHeight w:hRule="exact" w:val="737"/>
      </w:trPr>
      <w:tc>
        <w:tcPr>
          <w:tcW w:w="737" w:type="dxa"/>
          <w:shd w:val="clear" w:color="auto" w:fill="0064A0"/>
          <w:textDirection w:val="tbRl"/>
          <w:vAlign w:val="center"/>
        </w:tcPr>
        <w:p w:rsidR="00E93C5B" w:rsidRPr="002932A3" w:rsidRDefault="00E93C5B" w:rsidP="002932A3">
          <w:pPr>
            <w:pStyle w:val="Sidepaneltekst"/>
          </w:pPr>
        </w:p>
      </w:tc>
    </w:tr>
    <w:tr w:rsidR="00E93C5B" w:rsidRPr="002932A3" w:rsidTr="002932A3">
      <w:trPr>
        <w:cantSplit/>
        <w:trHeight w:val="6236"/>
      </w:trPr>
      <w:tc>
        <w:tcPr>
          <w:tcW w:w="737" w:type="dxa"/>
          <w:shd w:val="clear" w:color="auto" w:fill="0064A0"/>
          <w:textDirection w:val="tbRl"/>
          <w:vAlign w:val="center"/>
        </w:tcPr>
        <w:p w:rsidR="00E93C5B" w:rsidRPr="002932A3" w:rsidRDefault="00E93C5B" w:rsidP="002932A3">
          <w:pPr>
            <w:pStyle w:val="Sidepaneltekst"/>
          </w:pPr>
        </w:p>
      </w:tc>
    </w:tr>
    <w:tr w:rsidR="00E93C5B" w:rsidRPr="002932A3" w:rsidTr="002932A3">
      <w:trPr>
        <w:cantSplit/>
        <w:trHeight w:val="1984"/>
      </w:trPr>
      <w:tc>
        <w:tcPr>
          <w:tcW w:w="737" w:type="dxa"/>
          <w:shd w:val="clear" w:color="auto" w:fill="0064A0"/>
          <w:textDirection w:val="tbRl"/>
          <w:vAlign w:val="center"/>
        </w:tcPr>
        <w:p w:rsidR="00E93C5B" w:rsidRPr="002932A3" w:rsidRDefault="002932A3" w:rsidP="002932A3">
          <w:pPr>
            <w:pStyle w:val="Sidepanelwebadresse"/>
            <w:jc w:val="right"/>
          </w:pPr>
          <w:r w:rsidRPr="002932A3">
            <w:rPr>
              <w:rFonts w:cs="Arial"/>
            </w:rPr>
            <w:t>vordingborg.dk</w:t>
          </w:r>
        </w:p>
      </w:tc>
    </w:tr>
    <w:tr w:rsidR="00E93C5B" w:rsidRPr="002932A3" w:rsidTr="002932A3">
      <w:trPr>
        <w:cantSplit/>
        <w:trHeight w:hRule="exact" w:val="737"/>
      </w:trPr>
      <w:tc>
        <w:tcPr>
          <w:tcW w:w="737" w:type="dxa"/>
          <w:shd w:val="clear" w:color="auto" w:fill="0064A0"/>
          <w:textDirection w:val="tbRl"/>
          <w:vAlign w:val="center"/>
        </w:tcPr>
        <w:p w:rsidR="00E93C5B" w:rsidRPr="002932A3" w:rsidRDefault="00E93C5B" w:rsidP="002932A3">
          <w:pPr>
            <w:pStyle w:val="Sidepaneltekst"/>
          </w:pPr>
        </w:p>
      </w:tc>
    </w:tr>
  </w:tbl>
  <w:p w:rsidR="00E93C5B" w:rsidRPr="002932A3" w:rsidRDefault="002932A3">
    <w:pPr>
      <w:pStyle w:val="Sidehoved"/>
    </w:pPr>
    <w:r>
      <w:rPr>
        <w:noProof/>
        <w:lang w:eastAsia="da-DK"/>
      </w:rPr>
      <w:drawing>
        <wp:anchor distT="0" distB="0" distL="114300" distR="114300" simplePos="0" relativeHeight="251659776" behindDoc="1" locked="0" layoutInCell="1" allowOverlap="1">
          <wp:simplePos x="0" y="0"/>
          <wp:positionH relativeFrom="page">
            <wp:posOffset>467995</wp:posOffset>
          </wp:positionH>
          <wp:positionV relativeFrom="page">
            <wp:posOffset>971550</wp:posOffset>
          </wp:positionV>
          <wp:extent cx="1907540" cy="568325"/>
          <wp:effectExtent l="0" t="0" r="0" b="3175"/>
          <wp:wrapNone/>
          <wp:docPr id="9" name="Billede 9"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568325"/>
                  </a:xfrm>
                  <a:prstGeom prst="rect">
                    <a:avLst/>
                  </a:prstGeom>
                </pic:spPr>
              </pic:pic>
            </a:graphicData>
          </a:graphic>
        </wp:anchor>
      </w:drawing>
    </w:r>
    <w:r>
      <w:rPr>
        <w:noProof/>
        <w:lang w:eastAsia="da-DK"/>
      </w:rPr>
      <w:drawing>
        <wp:anchor distT="0" distB="0" distL="114300" distR="114300" simplePos="0" relativeHeight="251658752" behindDoc="1" locked="0" layoutInCell="1" allowOverlap="1">
          <wp:simplePos x="0" y="0"/>
          <wp:positionH relativeFrom="page">
            <wp:posOffset>467995</wp:posOffset>
          </wp:positionH>
          <wp:positionV relativeFrom="page">
            <wp:posOffset>6299835</wp:posOffset>
          </wp:positionV>
          <wp:extent cx="2375535" cy="791845"/>
          <wp:effectExtent l="0" t="0" r="5715" b="8255"/>
          <wp:wrapNone/>
          <wp:docPr id="10" name="Billede 10"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5535" cy="791845"/>
                  </a:xfrm>
                  <a:prstGeom prst="rect">
                    <a:avLst/>
                  </a:prstGeom>
                </pic:spPr>
              </pic:pic>
            </a:graphicData>
          </a:graphic>
        </wp:anchor>
      </w:drawing>
    </w:r>
    <w:r w:rsidR="00E93C5B" w:rsidRPr="002932A3">
      <w:rPr>
        <w:noProof/>
        <w:lang w:eastAsia="da-DK"/>
      </w:rPr>
      <mc:AlternateContent>
        <mc:Choice Requires="wps">
          <w:drawing>
            <wp:anchor distT="0" distB="0" distL="114300" distR="114300" simplePos="0" relativeHeight="251657215" behindDoc="1" locked="1" layoutInCell="1" allowOverlap="1" wp14:anchorId="646C195D" wp14:editId="2215E286">
              <wp:simplePos x="0" y="0"/>
              <wp:positionH relativeFrom="page">
                <wp:posOffset>0</wp:posOffset>
              </wp:positionH>
              <wp:positionV relativeFrom="page">
                <wp:posOffset>1403985</wp:posOffset>
              </wp:positionV>
              <wp:extent cx="4896000" cy="6174000"/>
              <wp:effectExtent l="0" t="0" r="0" b="0"/>
              <wp:wrapNone/>
              <wp:docPr id="3" name="CoverCol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6000" cy="6174000"/>
                      </a:xfrm>
                      <a:prstGeom prst="rect">
                        <a:avLst/>
                      </a:prstGeom>
                      <a:solidFill>
                        <a:srgbClr val="005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BF559" id="CoverColor" o:spid="_x0000_s1026" style="position:absolute;margin-left:0;margin-top:110.55pt;width:385.5pt;height:486.15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bewIAAPsEAAAOAAAAZHJzL2Uyb0RvYy54bWysVMGO0zAQvSPxD5bv3SQlaZto09XSpQhp&#10;gZUWPsC1ncbC8QTbbbog/p2x0y4tXBDi4ng84+eZeW9yfXPoNNlL6xSYmmZXKSXScBDKbGv6+dN6&#10;sqDEeWYE02BkTZ+kozfLly+uh76SU2hBC2kJghhXDX1NW+/7Kkkcb2XH3BX00qCzAdsxj6bdJsKy&#10;AdE7nUzTdJYMYEVvgUvn8PRudNJlxG8ayf3HpnHSE11TzM3H1cZ1E9Zkec2qrWV9q/gxDfYPWXRM&#10;GXz0GeqOeUZ2Vv0B1SluwUHjrzh0CTSN4jLWgNVk6W/VPLasl7EWbI7rn9vk/h8s/7B/sESJmr6i&#10;xLAOKVoB8rkCDTZ0Z+hdhUGP/YMN9bn+HvgXRwysWma28tZaGFrJBOaUhfjk4kIwHF4lm+E9CARn&#10;Ow+xUYfGdgEQW0AOkY+nZz7kwROOh/minKUp0sbRN8vmeTDCG6w6Xe+t828ldCRsamqR8AjP9vfO&#10;j6GnkJg+aCXWSuto2O1mpS3ZsyCOtCgWxRHdnYdpE4INhGsj4niCWeIbwRfyjWR/L7Npnr6elpP1&#10;bDGf5Ou8mJTzdDFJs/I11pKX+d36R0gwy6tWCSHNvTLyJLws/ztijyMwSiZKjww1LYtpEWu/yN5d&#10;FokdPLXwIqxTHudQq66mixBznIzA7BsjsGxWeab0uE8u04+EYA9O39iVqINA/SihDYgnlIEFJAkJ&#10;RYXhpgX7jZIBp6+m7uuOWUmJfmdQSmWW52Fco5EX8yka9tyzOfcwwxGqpp6Scbvy44jvequ2Lb6U&#10;xcYYuEX5NSoKI0hzzOooWpywWMHxbxBG+NyOUb/+WcufAAAA//8DAFBLAwQUAAYACAAAACEAX5xd&#10;7NsAAAAJAQAADwAAAGRycy9kb3ducmV2LnhtbEyPwU7DMBBE70j8g7VIXBB1HCpa0jgVIHHkQMoH&#10;OPE2jhqvQ+ym4e9ZTnDcmdHsm3K/+EHMOMU+kAa1ykAgtcH21Gn4PLzdb0HEZMiaIRBq+MYI++r6&#10;qjSFDRf6wLlOneASioXR4FIaCylj69CbuAojEnvHMHmT+Jw6aSdz4XI/yDzLHqU3PfEHZ0Z8ddie&#10;6rPX8II0uVh/3c3vW3SNW05JrjOtb2+W5x2IhEv6C8MvPqNDxUxNOJONYtDAQ5KGPFcKBNubjWKl&#10;4Zx6eliDrEr5f0H1AwAA//8DAFBLAQItABQABgAIAAAAIQC2gziS/gAAAOEBAAATAAAAAAAAAAAA&#10;AAAAAAAAAABbQ29udGVudF9UeXBlc10ueG1sUEsBAi0AFAAGAAgAAAAhADj9If/WAAAAlAEAAAsA&#10;AAAAAAAAAAAAAAAALwEAAF9yZWxzLy5yZWxzUEsBAi0AFAAGAAgAAAAhAITPX5t7AgAA+wQAAA4A&#10;AAAAAAAAAAAAAAAALgIAAGRycy9lMm9Eb2MueG1sUEsBAi0AFAAGAAgAAAAhAF+cXezbAAAACQEA&#10;AA8AAAAAAAAAAAAAAAAA1QQAAGRycy9kb3ducmV2LnhtbFBLBQYAAAAABAAEAPMAAADdBQAAAAA=&#10;" fillcolor="#005585" stroked="f">
              <w10:wrap anchorx="page" anchory="page"/>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C5B" w:rsidRDefault="002932A3">
    <w:pPr>
      <w:pStyle w:val="Sidehoved"/>
    </w:pPr>
    <w:r>
      <w:rPr>
        <w:noProof/>
        <w:lang w:eastAsia="da-DK"/>
      </w:rPr>
      <w:drawing>
        <wp:anchor distT="0" distB="0" distL="114300" distR="114300" simplePos="0" relativeHeight="251660800" behindDoc="1" locked="0" layoutInCell="1" allowOverlap="1">
          <wp:simplePos x="0" y="0"/>
          <wp:positionH relativeFrom="page">
            <wp:posOffset>467995</wp:posOffset>
          </wp:positionH>
          <wp:positionV relativeFrom="page">
            <wp:posOffset>971550</wp:posOffset>
          </wp:positionV>
          <wp:extent cx="1907540" cy="568325"/>
          <wp:effectExtent l="0" t="0" r="0" b="3175"/>
          <wp:wrapNone/>
          <wp:docPr id="8" name="Billede 8"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568325"/>
                  </a:xfrm>
                  <a:prstGeom prst="rect">
                    <a:avLst/>
                  </a:prstGeom>
                </pic:spPr>
              </pic:pic>
            </a:graphicData>
          </a:graphic>
        </wp:anchor>
      </w:drawing>
    </w:r>
    <w:r w:rsidR="00E93C5B">
      <w:rPr>
        <w:noProof/>
        <w:lang w:eastAsia="da-DK"/>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1403985</wp:posOffset>
              </wp:positionV>
              <wp:extent cx="5346065" cy="6174000"/>
              <wp:effectExtent l="0" t="0" r="6985" b="0"/>
              <wp:wrapNone/>
              <wp:docPr id="1" name="CoverColo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6174000"/>
                      </a:xfrm>
                      <a:prstGeom prst="rect">
                        <a:avLst/>
                      </a:prstGeom>
                      <a:solidFill>
                        <a:srgbClr val="0055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DF2D" id="CoverColor2" o:spid="_x0000_s1026" style="position:absolute;margin-left:0;margin-top:110.55pt;width:420.95pt;height:486.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qrgQIAAPwEAAAOAAAAZHJzL2Uyb0RvYy54bWysVNuO0zAQfUfiHyy/d3MhaZto09VulyKk&#10;BVZa+AA3dhoLxxNst+my4t8ZO21p4QUhXhyPZzw+M+dMrm/2nSI7YawEXdHkKqZE6Bq41JuKfvm8&#10;mswpsY5pzhRoUdFnYenN4vWr66EvRQotKC4MwSTalkNf0da5vowiW7eiY/YKeqHR2YDpmEPTbCJu&#10;2IDZOxWlcTyNBjC8N1ALa/H0fnTSRcjfNKJ2n5rGCkdURRGbC6sJ69qv0eKalRvD+lbWBxjsH1B0&#10;TGp89JTqnjlGtkb+kaqTtQELjbuqoYugaWQtQg1YTRL/Vs1Ty3oRasHm2P7UJvv/0tYfd4+GSI7c&#10;UaJZhxQtAflcggKT+vYMvS0x6ql/NL5A2z9A/dUSDcuW6Y24NQaGVjCOoBIfH11c8IbFq2Q9fACO&#10;2dnWQejUvjGdT4g9IPtAyPOJELF3pMbD/E02jac5JTX6psksi+NAWcTK4/XeWPdOQEf8pqIGGQ/p&#10;2e7BOg+HlceQAB+U5CupVDDMZr1UhuyYV0ec5/M8VIBVnocp7YM1+GtjxvEEUeIb3ufxBrZfiiTN&#10;4ru0mKym89kkW2X5pJjF80mcFHfFNM6K7H71wwNMsrKVnAv9ILU4Ki/J/o7ZwwyMmgnaI0NFizzN&#10;Q+0X6O1lkdjBYwsvwjrpcBCV7Co69zGH0fDMvtUcy2alY1KN++gSfugy9uD4DV0JOvDUjxJaA39G&#10;GRhAknAQUWK4acF8p2TA8auo/bZlRlCi3muUUpFkmZ/XYGT5LEXDnHvW5x6ma0xVUUfJuF26cca3&#10;vZGbFl9KQmM03KL8GhmE4aU5ojqIFkcsVHD4HfgZPrdD1K+f1uInAAAA//8DAFBLAwQUAAYACAAA&#10;ACEAa58vadsAAAAJAQAADwAAAGRycy9kb3ducmV2LnhtbEyPQU+EMBSE7yb+h+aZeDFuKRLDImWj&#10;Jh49iP6AQp+ULH1F2mXx3/s86XEyk5lv6sPmJ7HiEsdAGtQuA4HUBzvSoOHj/eW2BBGTIWumQKjh&#10;GyMcmsuL2lQ2nOkN1zYNgksoVkaDS2mupIy9Q2/iLsxI7H2GxZvEchmkXcyZy/0k8yy7l96MxAvO&#10;zPjssD+2J6/hCWlxsf26WV9LdJ3bjkkWmdbXV9vjA4iEW/oLwy8+o0PDTF04kY1i0sBHkoY8VwoE&#10;22Wh9iA6zqn9XQGyqeX/B80PAAAA//8DAFBLAQItABQABgAIAAAAIQC2gziS/gAAAOEBAAATAAAA&#10;AAAAAAAAAAAAAAAAAABbQ29udGVudF9UeXBlc10ueG1sUEsBAi0AFAAGAAgAAAAhADj9If/WAAAA&#10;lAEAAAsAAAAAAAAAAAAAAAAALwEAAF9yZWxzLy5yZWxzUEsBAi0AFAAGAAgAAAAhAG/Y+quBAgAA&#10;/AQAAA4AAAAAAAAAAAAAAAAALgIAAGRycy9lMm9Eb2MueG1sUEsBAi0AFAAGAAgAAAAhAGufL2nb&#10;AAAACQEAAA8AAAAAAAAAAAAAAAAA2wQAAGRycy9kb3ducmV2LnhtbFBLBQYAAAAABAAEAPMAAADj&#10;BQAAAAA=&#10;" fillcolor="#005585" stroked="f">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74664"/>
    <w:multiLevelType w:val="hybridMultilevel"/>
    <w:tmpl w:val="4072D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F2055F5"/>
    <w:multiLevelType w:val="hybridMultilevel"/>
    <w:tmpl w:val="ADDA2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evenAndOddHeaders/>
  <w:bookFoldPrinting/>
  <w:bookFoldPrintingSheets w:val="-4"/>
  <w:characterSpacingControl w:val="doNotCompress"/>
  <w:hdrShapeDefaults>
    <o:shapedefaults v:ext="edit" spidmax="18433">
      <o:colormru v:ext="edit" colors="#0055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Created" w:val="DocumentCreated"/>
    <w:docVar w:name="DocumentCreatedOK" w:val="DocumentCreatedOK"/>
    <w:docVar w:name="DocumentInitialized" w:val="OK"/>
    <w:docVar w:name="IntegrationType" w:val="StandAlone"/>
    <w:docVar w:name="OfficeInstanceGUID" w:val="{8CF715AC-F609-4D57-A57D-61AD3960BE0B}"/>
  </w:docVars>
  <w:rsids>
    <w:rsidRoot w:val="002932A3"/>
    <w:rsid w:val="00000A6D"/>
    <w:rsid w:val="00004830"/>
    <w:rsid w:val="00004AA3"/>
    <w:rsid w:val="00011AA7"/>
    <w:rsid w:val="00013EA4"/>
    <w:rsid w:val="000140DA"/>
    <w:rsid w:val="00014751"/>
    <w:rsid w:val="00014A0A"/>
    <w:rsid w:val="00020C51"/>
    <w:rsid w:val="00023F51"/>
    <w:rsid w:val="00024DC2"/>
    <w:rsid w:val="00027C81"/>
    <w:rsid w:val="00033891"/>
    <w:rsid w:val="00035465"/>
    <w:rsid w:val="0004385B"/>
    <w:rsid w:val="0004516D"/>
    <w:rsid w:val="000520E5"/>
    <w:rsid w:val="00053DF0"/>
    <w:rsid w:val="00054048"/>
    <w:rsid w:val="00083C31"/>
    <w:rsid w:val="00084FB3"/>
    <w:rsid w:val="000900FD"/>
    <w:rsid w:val="00094B58"/>
    <w:rsid w:val="000968FB"/>
    <w:rsid w:val="00097FC7"/>
    <w:rsid w:val="000A06BE"/>
    <w:rsid w:val="000A0A49"/>
    <w:rsid w:val="000A2BE1"/>
    <w:rsid w:val="000A3E38"/>
    <w:rsid w:val="000A70B5"/>
    <w:rsid w:val="000C565C"/>
    <w:rsid w:val="000C5D00"/>
    <w:rsid w:val="000D0A4A"/>
    <w:rsid w:val="000D115A"/>
    <w:rsid w:val="000E6270"/>
    <w:rsid w:val="000E74D7"/>
    <w:rsid w:val="000F1D4D"/>
    <w:rsid w:val="001018AE"/>
    <w:rsid w:val="001025F1"/>
    <w:rsid w:val="00111B40"/>
    <w:rsid w:val="001135D7"/>
    <w:rsid w:val="00122947"/>
    <w:rsid w:val="00127F2E"/>
    <w:rsid w:val="00130DA6"/>
    <w:rsid w:val="00132880"/>
    <w:rsid w:val="00146658"/>
    <w:rsid w:val="001467C7"/>
    <w:rsid w:val="00161B18"/>
    <w:rsid w:val="00162522"/>
    <w:rsid w:val="001940DA"/>
    <w:rsid w:val="001952BE"/>
    <w:rsid w:val="00197BA9"/>
    <w:rsid w:val="001A2DCF"/>
    <w:rsid w:val="001A5E82"/>
    <w:rsid w:val="001A6C01"/>
    <w:rsid w:val="001C1494"/>
    <w:rsid w:val="001C5C28"/>
    <w:rsid w:val="001C752F"/>
    <w:rsid w:val="001F1102"/>
    <w:rsid w:val="001F2CC6"/>
    <w:rsid w:val="002038F3"/>
    <w:rsid w:val="0021206E"/>
    <w:rsid w:val="00213029"/>
    <w:rsid w:val="00216319"/>
    <w:rsid w:val="00222E7F"/>
    <w:rsid w:val="00225DFE"/>
    <w:rsid w:val="0023418B"/>
    <w:rsid w:val="00235B90"/>
    <w:rsid w:val="002365F6"/>
    <w:rsid w:val="00242B2A"/>
    <w:rsid w:val="002446B8"/>
    <w:rsid w:val="00247C0E"/>
    <w:rsid w:val="00247E20"/>
    <w:rsid w:val="00250E2D"/>
    <w:rsid w:val="0025606C"/>
    <w:rsid w:val="00260E4F"/>
    <w:rsid w:val="002672B5"/>
    <w:rsid w:val="00286C88"/>
    <w:rsid w:val="00287832"/>
    <w:rsid w:val="00287F78"/>
    <w:rsid w:val="00291C7F"/>
    <w:rsid w:val="002932A3"/>
    <w:rsid w:val="00293628"/>
    <w:rsid w:val="002947A9"/>
    <w:rsid w:val="002B099A"/>
    <w:rsid w:val="002B5410"/>
    <w:rsid w:val="002C14DA"/>
    <w:rsid w:val="002D10D7"/>
    <w:rsid w:val="002D4AEF"/>
    <w:rsid w:val="002E693A"/>
    <w:rsid w:val="002E69FD"/>
    <w:rsid w:val="00300B16"/>
    <w:rsid w:val="00305467"/>
    <w:rsid w:val="00332004"/>
    <w:rsid w:val="00333FD4"/>
    <w:rsid w:val="00342ADF"/>
    <w:rsid w:val="003436FF"/>
    <w:rsid w:val="0034513B"/>
    <w:rsid w:val="00357F5B"/>
    <w:rsid w:val="003652AE"/>
    <w:rsid w:val="00375AA8"/>
    <w:rsid w:val="00383D23"/>
    <w:rsid w:val="00384425"/>
    <w:rsid w:val="00385F8C"/>
    <w:rsid w:val="00392DF5"/>
    <w:rsid w:val="00393F2E"/>
    <w:rsid w:val="00397E5F"/>
    <w:rsid w:val="003A1229"/>
    <w:rsid w:val="003A7D45"/>
    <w:rsid w:val="003B0EDE"/>
    <w:rsid w:val="003B48C5"/>
    <w:rsid w:val="003C05B9"/>
    <w:rsid w:val="003C17C4"/>
    <w:rsid w:val="003C2D02"/>
    <w:rsid w:val="003D09DF"/>
    <w:rsid w:val="003D105A"/>
    <w:rsid w:val="003D3E52"/>
    <w:rsid w:val="003E0167"/>
    <w:rsid w:val="003F19EB"/>
    <w:rsid w:val="003F5357"/>
    <w:rsid w:val="003F537D"/>
    <w:rsid w:val="003F6CB5"/>
    <w:rsid w:val="003F715A"/>
    <w:rsid w:val="00400BE9"/>
    <w:rsid w:val="0040143E"/>
    <w:rsid w:val="00401FD2"/>
    <w:rsid w:val="004022F2"/>
    <w:rsid w:val="004042B3"/>
    <w:rsid w:val="00411EF9"/>
    <w:rsid w:val="0041231D"/>
    <w:rsid w:val="004127DF"/>
    <w:rsid w:val="00416754"/>
    <w:rsid w:val="00443032"/>
    <w:rsid w:val="00447B60"/>
    <w:rsid w:val="00447E94"/>
    <w:rsid w:val="00451C3C"/>
    <w:rsid w:val="00453D00"/>
    <w:rsid w:val="00453DB2"/>
    <w:rsid w:val="004604BD"/>
    <w:rsid w:val="00464601"/>
    <w:rsid w:val="0047573F"/>
    <w:rsid w:val="00476531"/>
    <w:rsid w:val="0047762E"/>
    <w:rsid w:val="004800F3"/>
    <w:rsid w:val="004827CC"/>
    <w:rsid w:val="00487831"/>
    <w:rsid w:val="00493743"/>
    <w:rsid w:val="00495ED4"/>
    <w:rsid w:val="00495ED9"/>
    <w:rsid w:val="00496A87"/>
    <w:rsid w:val="00496DDF"/>
    <w:rsid w:val="004A5B98"/>
    <w:rsid w:val="004A6D41"/>
    <w:rsid w:val="004C2138"/>
    <w:rsid w:val="004D48EE"/>
    <w:rsid w:val="004E2842"/>
    <w:rsid w:val="004E5DBD"/>
    <w:rsid w:val="004E5DE9"/>
    <w:rsid w:val="004F092D"/>
    <w:rsid w:val="005014E0"/>
    <w:rsid w:val="00510773"/>
    <w:rsid w:val="0051714E"/>
    <w:rsid w:val="00522FFD"/>
    <w:rsid w:val="005236BD"/>
    <w:rsid w:val="00525967"/>
    <w:rsid w:val="00531AEA"/>
    <w:rsid w:val="0053470F"/>
    <w:rsid w:val="005501AF"/>
    <w:rsid w:val="005624D9"/>
    <w:rsid w:val="00566D20"/>
    <w:rsid w:val="005718E9"/>
    <w:rsid w:val="0057641D"/>
    <w:rsid w:val="00580653"/>
    <w:rsid w:val="0058219D"/>
    <w:rsid w:val="0058356B"/>
    <w:rsid w:val="00592941"/>
    <w:rsid w:val="00593890"/>
    <w:rsid w:val="005A3369"/>
    <w:rsid w:val="005A4D25"/>
    <w:rsid w:val="005B021B"/>
    <w:rsid w:val="005D4994"/>
    <w:rsid w:val="005D7DEC"/>
    <w:rsid w:val="005D7E74"/>
    <w:rsid w:val="005F65B8"/>
    <w:rsid w:val="00602E62"/>
    <w:rsid w:val="00623DF4"/>
    <w:rsid w:val="0062759C"/>
    <w:rsid w:val="006322BD"/>
    <w:rsid w:val="00656D73"/>
    <w:rsid w:val="00660155"/>
    <w:rsid w:val="00666516"/>
    <w:rsid w:val="00673934"/>
    <w:rsid w:val="00690D94"/>
    <w:rsid w:val="00693091"/>
    <w:rsid w:val="00695D5E"/>
    <w:rsid w:val="006A1019"/>
    <w:rsid w:val="006A409C"/>
    <w:rsid w:val="006B336F"/>
    <w:rsid w:val="006B402E"/>
    <w:rsid w:val="006B4B45"/>
    <w:rsid w:val="006B6486"/>
    <w:rsid w:val="006B688F"/>
    <w:rsid w:val="006C2796"/>
    <w:rsid w:val="006C419A"/>
    <w:rsid w:val="006D2A76"/>
    <w:rsid w:val="006D4B69"/>
    <w:rsid w:val="006E0998"/>
    <w:rsid w:val="006E3381"/>
    <w:rsid w:val="006E6646"/>
    <w:rsid w:val="006F37C6"/>
    <w:rsid w:val="006F4187"/>
    <w:rsid w:val="006F45F9"/>
    <w:rsid w:val="006F4B44"/>
    <w:rsid w:val="00703EB1"/>
    <w:rsid w:val="0071254D"/>
    <w:rsid w:val="00714355"/>
    <w:rsid w:val="00715389"/>
    <w:rsid w:val="0072002F"/>
    <w:rsid w:val="00726193"/>
    <w:rsid w:val="00730291"/>
    <w:rsid w:val="00730F03"/>
    <w:rsid w:val="007341BB"/>
    <w:rsid w:val="00742180"/>
    <w:rsid w:val="00745D34"/>
    <w:rsid w:val="00750A92"/>
    <w:rsid w:val="00776A4D"/>
    <w:rsid w:val="0078196C"/>
    <w:rsid w:val="00782332"/>
    <w:rsid w:val="007831CC"/>
    <w:rsid w:val="00792C3E"/>
    <w:rsid w:val="00792D2E"/>
    <w:rsid w:val="0079528D"/>
    <w:rsid w:val="0079604F"/>
    <w:rsid w:val="00796525"/>
    <w:rsid w:val="007A2DBD"/>
    <w:rsid w:val="007A702C"/>
    <w:rsid w:val="007B0CF0"/>
    <w:rsid w:val="007B0F2E"/>
    <w:rsid w:val="007C52A5"/>
    <w:rsid w:val="007C5B2F"/>
    <w:rsid w:val="007D3337"/>
    <w:rsid w:val="007D6808"/>
    <w:rsid w:val="007D707C"/>
    <w:rsid w:val="007E1890"/>
    <w:rsid w:val="007E7651"/>
    <w:rsid w:val="007F1419"/>
    <w:rsid w:val="00815109"/>
    <w:rsid w:val="008159F2"/>
    <w:rsid w:val="00823698"/>
    <w:rsid w:val="00825B60"/>
    <w:rsid w:val="008321C8"/>
    <w:rsid w:val="00832B91"/>
    <w:rsid w:val="00832C57"/>
    <w:rsid w:val="008330EB"/>
    <w:rsid w:val="008427D7"/>
    <w:rsid w:val="008455D8"/>
    <w:rsid w:val="00845A45"/>
    <w:rsid w:val="008509C5"/>
    <w:rsid w:val="008514BD"/>
    <w:rsid w:val="00854CC5"/>
    <w:rsid w:val="0087007B"/>
    <w:rsid w:val="00873729"/>
    <w:rsid w:val="00877DA0"/>
    <w:rsid w:val="00882A87"/>
    <w:rsid w:val="00884211"/>
    <w:rsid w:val="008874A9"/>
    <w:rsid w:val="00893283"/>
    <w:rsid w:val="00893AED"/>
    <w:rsid w:val="00893D9C"/>
    <w:rsid w:val="008A138B"/>
    <w:rsid w:val="008A61CF"/>
    <w:rsid w:val="008B07F5"/>
    <w:rsid w:val="008B172A"/>
    <w:rsid w:val="008B2178"/>
    <w:rsid w:val="008B2870"/>
    <w:rsid w:val="008B5CF0"/>
    <w:rsid w:val="008C4161"/>
    <w:rsid w:val="008C633B"/>
    <w:rsid w:val="008D0B05"/>
    <w:rsid w:val="008E331C"/>
    <w:rsid w:val="008E3752"/>
    <w:rsid w:val="008E5BDF"/>
    <w:rsid w:val="008F3609"/>
    <w:rsid w:val="008F71F3"/>
    <w:rsid w:val="00903D1F"/>
    <w:rsid w:val="009102CF"/>
    <w:rsid w:val="00911B8E"/>
    <w:rsid w:val="00912516"/>
    <w:rsid w:val="0093285E"/>
    <w:rsid w:val="009406F9"/>
    <w:rsid w:val="00956A0F"/>
    <w:rsid w:val="00957C13"/>
    <w:rsid w:val="00970035"/>
    <w:rsid w:val="00971D62"/>
    <w:rsid w:val="00990C65"/>
    <w:rsid w:val="00991C68"/>
    <w:rsid w:val="0099599A"/>
    <w:rsid w:val="0099608F"/>
    <w:rsid w:val="009966DB"/>
    <w:rsid w:val="009B0218"/>
    <w:rsid w:val="009B0B7F"/>
    <w:rsid w:val="009C1B59"/>
    <w:rsid w:val="009D08C3"/>
    <w:rsid w:val="009D7B70"/>
    <w:rsid w:val="009E7976"/>
    <w:rsid w:val="009F30A9"/>
    <w:rsid w:val="00A067A9"/>
    <w:rsid w:val="00A21B59"/>
    <w:rsid w:val="00A309D3"/>
    <w:rsid w:val="00A30ED9"/>
    <w:rsid w:val="00A33726"/>
    <w:rsid w:val="00A34134"/>
    <w:rsid w:val="00A34630"/>
    <w:rsid w:val="00A34A66"/>
    <w:rsid w:val="00A357D0"/>
    <w:rsid w:val="00A41C44"/>
    <w:rsid w:val="00A51B11"/>
    <w:rsid w:val="00A70A3D"/>
    <w:rsid w:val="00A7317F"/>
    <w:rsid w:val="00A7343B"/>
    <w:rsid w:val="00A76B56"/>
    <w:rsid w:val="00A87D45"/>
    <w:rsid w:val="00A90874"/>
    <w:rsid w:val="00A914B0"/>
    <w:rsid w:val="00AA707D"/>
    <w:rsid w:val="00AB09BE"/>
    <w:rsid w:val="00AB0A0E"/>
    <w:rsid w:val="00AB6EFD"/>
    <w:rsid w:val="00AB7226"/>
    <w:rsid w:val="00AD2095"/>
    <w:rsid w:val="00AD5CFE"/>
    <w:rsid w:val="00AE6829"/>
    <w:rsid w:val="00AF1959"/>
    <w:rsid w:val="00AF5083"/>
    <w:rsid w:val="00AF7275"/>
    <w:rsid w:val="00AF759D"/>
    <w:rsid w:val="00B12BF4"/>
    <w:rsid w:val="00B13167"/>
    <w:rsid w:val="00B1758E"/>
    <w:rsid w:val="00B21822"/>
    <w:rsid w:val="00B31A7D"/>
    <w:rsid w:val="00B321C1"/>
    <w:rsid w:val="00B337AD"/>
    <w:rsid w:val="00B41D79"/>
    <w:rsid w:val="00B46199"/>
    <w:rsid w:val="00B567DE"/>
    <w:rsid w:val="00B67090"/>
    <w:rsid w:val="00B74A35"/>
    <w:rsid w:val="00B910BE"/>
    <w:rsid w:val="00BA155F"/>
    <w:rsid w:val="00BA276B"/>
    <w:rsid w:val="00BA2982"/>
    <w:rsid w:val="00BB3523"/>
    <w:rsid w:val="00BC43BE"/>
    <w:rsid w:val="00BC455D"/>
    <w:rsid w:val="00BC5C89"/>
    <w:rsid w:val="00BC7669"/>
    <w:rsid w:val="00BD5E81"/>
    <w:rsid w:val="00BE142E"/>
    <w:rsid w:val="00BE5BA2"/>
    <w:rsid w:val="00BF0FBE"/>
    <w:rsid w:val="00BF2644"/>
    <w:rsid w:val="00BF755E"/>
    <w:rsid w:val="00C01707"/>
    <w:rsid w:val="00C1782E"/>
    <w:rsid w:val="00C211A8"/>
    <w:rsid w:val="00C42DDE"/>
    <w:rsid w:val="00C42FEA"/>
    <w:rsid w:val="00C433E9"/>
    <w:rsid w:val="00C4515C"/>
    <w:rsid w:val="00C546F2"/>
    <w:rsid w:val="00C60188"/>
    <w:rsid w:val="00C7330F"/>
    <w:rsid w:val="00C73429"/>
    <w:rsid w:val="00C75A4D"/>
    <w:rsid w:val="00C8131A"/>
    <w:rsid w:val="00C84BA1"/>
    <w:rsid w:val="00C8639D"/>
    <w:rsid w:val="00C906E0"/>
    <w:rsid w:val="00C946EE"/>
    <w:rsid w:val="00C960A4"/>
    <w:rsid w:val="00CA0CA3"/>
    <w:rsid w:val="00CA23B0"/>
    <w:rsid w:val="00CB12C9"/>
    <w:rsid w:val="00CB215D"/>
    <w:rsid w:val="00CD4A42"/>
    <w:rsid w:val="00CE4C0D"/>
    <w:rsid w:val="00CE6E4E"/>
    <w:rsid w:val="00CE77FF"/>
    <w:rsid w:val="00CF5F41"/>
    <w:rsid w:val="00D01345"/>
    <w:rsid w:val="00D05E1B"/>
    <w:rsid w:val="00D07457"/>
    <w:rsid w:val="00D11E45"/>
    <w:rsid w:val="00D16CEF"/>
    <w:rsid w:val="00D20371"/>
    <w:rsid w:val="00D2165B"/>
    <w:rsid w:val="00D23A1D"/>
    <w:rsid w:val="00D243C8"/>
    <w:rsid w:val="00D40F2E"/>
    <w:rsid w:val="00D43C5C"/>
    <w:rsid w:val="00D54556"/>
    <w:rsid w:val="00D57199"/>
    <w:rsid w:val="00D61AFD"/>
    <w:rsid w:val="00D63E09"/>
    <w:rsid w:val="00D67655"/>
    <w:rsid w:val="00D725F1"/>
    <w:rsid w:val="00D74893"/>
    <w:rsid w:val="00D76B13"/>
    <w:rsid w:val="00D80FDE"/>
    <w:rsid w:val="00DA0035"/>
    <w:rsid w:val="00DA40CD"/>
    <w:rsid w:val="00DA49BD"/>
    <w:rsid w:val="00DB5158"/>
    <w:rsid w:val="00DB5F04"/>
    <w:rsid w:val="00DB6981"/>
    <w:rsid w:val="00DC4D03"/>
    <w:rsid w:val="00DC61C6"/>
    <w:rsid w:val="00DD5282"/>
    <w:rsid w:val="00DF267A"/>
    <w:rsid w:val="00DF3993"/>
    <w:rsid w:val="00DF4BD1"/>
    <w:rsid w:val="00E05621"/>
    <w:rsid w:val="00E10241"/>
    <w:rsid w:val="00E12BFC"/>
    <w:rsid w:val="00E14827"/>
    <w:rsid w:val="00E163F8"/>
    <w:rsid w:val="00E217A4"/>
    <w:rsid w:val="00E230EC"/>
    <w:rsid w:val="00E244B6"/>
    <w:rsid w:val="00E2758E"/>
    <w:rsid w:val="00E343EE"/>
    <w:rsid w:val="00E52AC9"/>
    <w:rsid w:val="00E52DE3"/>
    <w:rsid w:val="00E55974"/>
    <w:rsid w:val="00E629F0"/>
    <w:rsid w:val="00E63439"/>
    <w:rsid w:val="00E708BC"/>
    <w:rsid w:val="00E72713"/>
    <w:rsid w:val="00E74238"/>
    <w:rsid w:val="00E769ED"/>
    <w:rsid w:val="00E77668"/>
    <w:rsid w:val="00E819F5"/>
    <w:rsid w:val="00E81F7B"/>
    <w:rsid w:val="00E9010C"/>
    <w:rsid w:val="00E93AEB"/>
    <w:rsid w:val="00E93C5B"/>
    <w:rsid w:val="00E96AFA"/>
    <w:rsid w:val="00EA0D5B"/>
    <w:rsid w:val="00EA25C3"/>
    <w:rsid w:val="00EA59BA"/>
    <w:rsid w:val="00EB4CD5"/>
    <w:rsid w:val="00EC73BC"/>
    <w:rsid w:val="00EC7E98"/>
    <w:rsid w:val="00EE035F"/>
    <w:rsid w:val="00EE4FBC"/>
    <w:rsid w:val="00EF2A59"/>
    <w:rsid w:val="00EF2EE1"/>
    <w:rsid w:val="00F01536"/>
    <w:rsid w:val="00F02975"/>
    <w:rsid w:val="00F0569C"/>
    <w:rsid w:val="00F07DBF"/>
    <w:rsid w:val="00F15084"/>
    <w:rsid w:val="00F21587"/>
    <w:rsid w:val="00F4361E"/>
    <w:rsid w:val="00F45E7C"/>
    <w:rsid w:val="00F4771A"/>
    <w:rsid w:val="00F5022A"/>
    <w:rsid w:val="00F6742F"/>
    <w:rsid w:val="00F7381A"/>
    <w:rsid w:val="00F805E0"/>
    <w:rsid w:val="00F811A7"/>
    <w:rsid w:val="00F8140B"/>
    <w:rsid w:val="00F814DE"/>
    <w:rsid w:val="00F84332"/>
    <w:rsid w:val="00F851A2"/>
    <w:rsid w:val="00F85E13"/>
    <w:rsid w:val="00F95995"/>
    <w:rsid w:val="00F97277"/>
    <w:rsid w:val="00FA1E51"/>
    <w:rsid w:val="00FA2F93"/>
    <w:rsid w:val="00FA717E"/>
    <w:rsid w:val="00FB0C95"/>
    <w:rsid w:val="00FD31DA"/>
    <w:rsid w:val="00FD3564"/>
    <w:rsid w:val="00FD379F"/>
    <w:rsid w:val="00FD48FE"/>
    <w:rsid w:val="00FF332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5584"/>
    </o:shapedefaults>
    <o:shapelayout v:ext="edit">
      <o:idmap v:ext="edit" data="1"/>
    </o:shapelayout>
  </w:shapeDefaults>
  <w:decimalSymbol w:val=","/>
  <w:listSeparator w:val=";"/>
  <w15:docId w15:val="{249CC20E-BA64-4366-8645-801CA8EE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4F"/>
    <w:pPr>
      <w:spacing w:after="0"/>
    </w:pPr>
    <w:rPr>
      <w:rFonts w:ascii="Arial" w:hAnsi="Arial"/>
      <w:sz w:val="19"/>
    </w:rPr>
  </w:style>
  <w:style w:type="paragraph" w:styleId="Overskrift1">
    <w:name w:val="heading 1"/>
    <w:basedOn w:val="Normal"/>
    <w:next w:val="Normal"/>
    <w:link w:val="Overskrift1Tegn"/>
    <w:uiPriority w:val="9"/>
    <w:qFormat/>
    <w:rsid w:val="006D2A76"/>
    <w:pPr>
      <w:keepNext/>
      <w:keepLines/>
      <w:outlineLvl w:val="0"/>
    </w:pPr>
    <w:rPr>
      <w:rFonts w:eastAsiaTheme="majorEastAsia" w:cstheme="majorBidi"/>
      <w:b/>
      <w:bCs/>
      <w:caps/>
      <w:szCs w:val="28"/>
    </w:rPr>
  </w:style>
  <w:style w:type="paragraph" w:styleId="Overskrift2">
    <w:name w:val="heading 2"/>
    <w:basedOn w:val="Normal"/>
    <w:next w:val="Normal"/>
    <w:link w:val="Overskrift2Tegn"/>
    <w:uiPriority w:val="9"/>
    <w:unhideWhenUsed/>
    <w:rsid w:val="00FA1E51"/>
    <w:pPr>
      <w:keepNext/>
      <w:keepLines/>
      <w:spacing w:line="240" w:lineRule="auto"/>
      <w:outlineLvl w:val="1"/>
    </w:pPr>
    <w:rPr>
      <w:rFonts w:ascii="Verdana" w:eastAsiaTheme="majorEastAsia" w:hAnsi="Verdana" w:cstheme="majorBidi"/>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6D2A76"/>
    <w:rPr>
      <w:rFonts w:ascii="Arial" w:eastAsiaTheme="majorEastAsia" w:hAnsi="Arial" w:cstheme="majorBidi"/>
      <w:b/>
      <w:bCs/>
      <w:caps/>
      <w:sz w:val="19"/>
      <w:szCs w:val="28"/>
    </w:rPr>
  </w:style>
  <w:style w:type="paragraph" w:customStyle="1" w:styleId="Sender">
    <w:name w:val="Sender"/>
    <w:basedOn w:val="Normal"/>
    <w:link w:val="SenderTegn"/>
    <w:rsid w:val="00260E4F"/>
    <w:pPr>
      <w:spacing w:line="280" w:lineRule="atLeast"/>
    </w:pPr>
  </w:style>
  <w:style w:type="character" w:customStyle="1" w:styleId="Overskrift2Tegn">
    <w:name w:val="Overskrift 2 Tegn"/>
    <w:basedOn w:val="Standardskrifttypeiafsnit"/>
    <w:link w:val="Overskrift2"/>
    <w:uiPriority w:val="9"/>
    <w:rsid w:val="00FA1E51"/>
    <w:rPr>
      <w:rFonts w:ascii="Verdana" w:eastAsiaTheme="majorEastAsia" w:hAnsi="Verdana" w:cstheme="majorBidi"/>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6C419A"/>
    <w:rPr>
      <w:i/>
      <w:sz w:val="20"/>
      <w:lang w:val="en-GB"/>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B0C95"/>
    <w:rPr>
      <w:b/>
      <w:lang w:val="en-GB"/>
    </w:rPr>
  </w:style>
  <w:style w:type="character" w:customStyle="1" w:styleId="SenderTegn">
    <w:name w:val="Sender Tegn"/>
    <w:basedOn w:val="Standardskrifttypeiafsnit"/>
    <w:link w:val="Sender"/>
    <w:rsid w:val="00260E4F"/>
    <w:rPr>
      <w:rFonts w:ascii="Arial" w:hAnsi="Arial"/>
      <w:sz w:val="19"/>
    </w:rPr>
  </w:style>
  <w:style w:type="character" w:customStyle="1" w:styleId="DocumentDateChar">
    <w:name w:val="DocumentDate Char"/>
    <w:basedOn w:val="SenderTegn"/>
    <w:link w:val="DocumentDate"/>
    <w:rsid w:val="006C419A"/>
    <w:rPr>
      <w:rFonts w:ascii="Georgia" w:hAnsi="Georgia"/>
      <w:i/>
      <w:sz w:val="20"/>
      <w:lang w:val="en-GB"/>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2446B8"/>
    <w:rPr>
      <w:rFonts w:ascii="Georgia" w:hAnsi="Georgia"/>
      <w:b/>
      <w:sz w:val="16"/>
      <w:lang w:val="en-GB"/>
    </w:rPr>
  </w:style>
  <w:style w:type="paragraph" w:customStyle="1" w:styleId="Rubrikoverskrift">
    <w:name w:val="Rubrikoverskrift"/>
    <w:basedOn w:val="Normal"/>
    <w:rsid w:val="00FA717E"/>
    <w:rPr>
      <w:b/>
      <w:caps/>
    </w:rPr>
  </w:style>
  <w:style w:type="paragraph" w:customStyle="1" w:styleId="Sidepaneltekst">
    <w:name w:val="Sidepanel tekst"/>
    <w:basedOn w:val="Normal"/>
    <w:rsid w:val="002E693A"/>
    <w:pPr>
      <w:spacing w:line="240" w:lineRule="auto"/>
    </w:pPr>
    <w:rPr>
      <w:b/>
      <w:caps/>
      <w:color w:val="FFFFFF" w:themeColor="background1"/>
      <w:sz w:val="20"/>
    </w:rPr>
  </w:style>
  <w:style w:type="paragraph" w:customStyle="1" w:styleId="Sidepanelwebadresse">
    <w:name w:val="Sidepanel webadresse"/>
    <w:basedOn w:val="Sidepaneltekst"/>
    <w:rsid w:val="009C1B59"/>
    <w:rPr>
      <w:caps w:val="0"/>
    </w:rPr>
  </w:style>
  <w:style w:type="paragraph" w:customStyle="1" w:styleId="Afsenderoverskrift">
    <w:name w:val="Afsender overskrift"/>
    <w:basedOn w:val="Normal"/>
    <w:next w:val="Afsendertekst"/>
    <w:rsid w:val="00C01707"/>
    <w:rPr>
      <w:b/>
      <w:color w:val="666666"/>
    </w:rPr>
  </w:style>
  <w:style w:type="paragraph" w:customStyle="1" w:styleId="Afsendertekst">
    <w:name w:val="Afsender tekst"/>
    <w:basedOn w:val="Afsenderoverskrift"/>
    <w:rsid w:val="00C01707"/>
    <w:rPr>
      <w:b w:val="0"/>
    </w:rPr>
  </w:style>
  <w:style w:type="paragraph" w:customStyle="1" w:styleId="Billedetekst">
    <w:name w:val="Billedetekst"/>
    <w:basedOn w:val="Afsendertekst"/>
    <w:rsid w:val="00260E4F"/>
    <w:pPr>
      <w:jc w:val="right"/>
    </w:pPr>
  </w:style>
  <w:style w:type="paragraph" w:customStyle="1" w:styleId="Afsenderoverskrifthvid">
    <w:name w:val="Afsender overskrift hvid"/>
    <w:basedOn w:val="Afsenderoverskrift"/>
    <w:next w:val="Afsenderteksthvid"/>
    <w:rsid w:val="00260E4F"/>
    <w:rPr>
      <w:color w:val="FFFFFF"/>
    </w:rPr>
  </w:style>
  <w:style w:type="paragraph" w:customStyle="1" w:styleId="Afsenderteksthvid">
    <w:name w:val="Afsender tekst hvid"/>
    <w:basedOn w:val="Afsendertekst"/>
    <w:rsid w:val="00260E4F"/>
    <w:rPr>
      <w:color w:val="FFFFFF"/>
    </w:rPr>
  </w:style>
  <w:style w:type="paragraph" w:customStyle="1" w:styleId="IntrotextBlue">
    <w:name w:val="Introtext Blue"/>
    <w:basedOn w:val="Normal"/>
    <w:rsid w:val="00260E4F"/>
    <w:pPr>
      <w:spacing w:line="240" w:lineRule="auto"/>
    </w:pPr>
    <w:rPr>
      <w:rFonts w:ascii="Verdana" w:hAnsi="Verdana"/>
      <w:color w:val="005584"/>
      <w:sz w:val="24"/>
    </w:rPr>
  </w:style>
  <w:style w:type="paragraph" w:customStyle="1" w:styleId="HeadingBlue">
    <w:name w:val="Heading Blue"/>
    <w:basedOn w:val="Normal"/>
    <w:rsid w:val="00260E4F"/>
    <w:pPr>
      <w:spacing w:line="240" w:lineRule="auto"/>
    </w:pPr>
    <w:rPr>
      <w:rFonts w:ascii="Verdana" w:hAnsi="Verdana"/>
      <w:b/>
      <w:caps/>
      <w:color w:val="005584"/>
      <w:sz w:val="60"/>
    </w:rPr>
  </w:style>
  <w:style w:type="paragraph" w:customStyle="1" w:styleId="IntrotextRed">
    <w:name w:val="Introtext Red"/>
    <w:basedOn w:val="IntrotextBlue"/>
    <w:rsid w:val="00260E4F"/>
    <w:rPr>
      <w:color w:val="771035"/>
    </w:rPr>
  </w:style>
  <w:style w:type="paragraph" w:customStyle="1" w:styleId="HeadingRed">
    <w:name w:val="Heading Red"/>
    <w:basedOn w:val="HeadingBlue"/>
    <w:rsid w:val="00260E4F"/>
    <w:rPr>
      <w:color w:val="771035"/>
    </w:rPr>
  </w:style>
  <w:style w:type="paragraph" w:customStyle="1" w:styleId="HeadingGreen">
    <w:name w:val="Heading Green"/>
    <w:basedOn w:val="HeadingRed"/>
    <w:rsid w:val="00260E4F"/>
    <w:rPr>
      <w:color w:val="3DA15A"/>
    </w:rPr>
  </w:style>
  <w:style w:type="paragraph" w:customStyle="1" w:styleId="IntrotextGreen">
    <w:name w:val="Introtext Green"/>
    <w:basedOn w:val="IntrotextRed"/>
    <w:rsid w:val="00260E4F"/>
    <w:rPr>
      <w:color w:val="3DA15A"/>
    </w:rPr>
  </w:style>
  <w:style w:type="paragraph" w:customStyle="1" w:styleId="IntrotextWhite">
    <w:name w:val="Introtext White"/>
    <w:basedOn w:val="IntrotextGreen"/>
    <w:rsid w:val="007341BB"/>
    <w:rPr>
      <w:color w:val="FFFFFF"/>
    </w:rPr>
  </w:style>
  <w:style w:type="paragraph" w:customStyle="1" w:styleId="HeadingWhite">
    <w:name w:val="Heading White"/>
    <w:basedOn w:val="HeadingGreen"/>
    <w:rsid w:val="007341BB"/>
    <w:rPr>
      <w:color w:val="FFFFFF"/>
    </w:rPr>
  </w:style>
  <w:style w:type="paragraph" w:customStyle="1" w:styleId="Normalhvid">
    <w:name w:val="Normal hvid"/>
    <w:basedOn w:val="Normal"/>
    <w:rsid w:val="008F71F3"/>
    <w:rPr>
      <w:color w:val="FFFFFF"/>
    </w:rPr>
  </w:style>
  <w:style w:type="paragraph" w:customStyle="1" w:styleId="HeadingBlack">
    <w:name w:val="Heading Black"/>
    <w:basedOn w:val="HeadingRed"/>
    <w:rsid w:val="003A7D45"/>
    <w:rPr>
      <w:color w:val="000000"/>
    </w:rPr>
  </w:style>
  <w:style w:type="paragraph" w:customStyle="1" w:styleId="IntrotextBlack">
    <w:name w:val="Introtext Black"/>
    <w:basedOn w:val="IntrotextRed"/>
    <w:rsid w:val="003A7D45"/>
    <w:rPr>
      <w:color w:val="000000"/>
    </w:rPr>
  </w:style>
  <w:style w:type="character" w:styleId="Hyperlink">
    <w:name w:val="Hyperlink"/>
    <w:basedOn w:val="Standardskrifttypeiafsnit"/>
    <w:uiPriority w:val="99"/>
    <w:unhideWhenUsed/>
    <w:rsid w:val="002932A3"/>
    <w:rPr>
      <w:color w:val="0000FF" w:themeColor="hyperlink"/>
      <w:u w:val="single"/>
    </w:rPr>
  </w:style>
  <w:style w:type="paragraph" w:styleId="Listeafsnit">
    <w:name w:val="List Paragraph"/>
    <w:basedOn w:val="Normal"/>
    <w:uiPriority w:val="34"/>
    <w:qFormat/>
    <w:rsid w:val="002932A3"/>
    <w:pPr>
      <w:spacing w:after="200"/>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refusion.dk" TargetMode="External"/><Relationship Id="rId13" Type="http://schemas.openxmlformats.org/officeDocument/2006/relationships/hyperlink" Target="http://www.forebyggelsesfonden.dk"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ejdsmiljoviden.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iweb.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mrefusion.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mrefusion.dk" TargetMode="External"/><Relationship Id="rId14" Type="http://schemas.openxmlformats.org/officeDocument/2006/relationships/hyperlink" Target="http://www.vordingborg.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A5%20fold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6560-8059-4362-B72A-91F8340C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 folder</Template>
  <TotalTime>1</TotalTime>
  <Pages>8</Pages>
  <Words>920</Words>
  <Characters>5617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cemi</dc:creator>
  <cp:lastModifiedBy>Christina Louise Mayland</cp:lastModifiedBy>
  <cp:revision>2</cp:revision>
  <cp:lastPrinted>2016-05-25T11:53:00Z</cp:lastPrinted>
  <dcterms:created xsi:type="dcterms:W3CDTF">2016-06-01T08:20:00Z</dcterms:created>
  <dcterms:modified xsi:type="dcterms:W3CDTF">2016-06-01T08:20:00Z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C:\Users\mg\AppData\Roaming\Microsoft\Skabeloner\Document Themes\dynamicbranding.thmx 011</vt:lpwstr>
  </property>
</Properties>
</file>